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992D9" w14:textId="09EE5793" w:rsidR="009A7794" w:rsidRPr="00D3547E" w:rsidRDefault="00AD288D" w:rsidP="004E7097">
      <w:pPr>
        <w:spacing w:line="259"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Bayesian </w:t>
      </w:r>
      <w:r w:rsidR="009A7794" w:rsidRPr="00D3547E">
        <w:rPr>
          <w:rFonts w:ascii="Times New Roman" w:hAnsi="Times New Roman" w:cs="Times New Roman"/>
          <w:b/>
          <w:sz w:val="24"/>
          <w:szCs w:val="24"/>
          <w:u w:val="single"/>
        </w:rPr>
        <w:t xml:space="preserve">Decision </w:t>
      </w:r>
      <w:r w:rsidR="00D3547E" w:rsidRPr="00D3547E">
        <w:rPr>
          <w:rFonts w:ascii="Times New Roman" w:hAnsi="Times New Roman" w:cs="Times New Roman"/>
          <w:b/>
          <w:sz w:val="24"/>
          <w:szCs w:val="24"/>
          <w:u w:val="single"/>
        </w:rPr>
        <w:t>Analysis</w:t>
      </w:r>
    </w:p>
    <w:p w14:paraId="12D8DB0C" w14:textId="532A5C8A" w:rsidR="00D633B8" w:rsidRDefault="00D633B8" w:rsidP="00F92C0F">
      <w:pPr>
        <w:rPr>
          <w:rFonts w:ascii="Times New Roman" w:hAnsi="Times New Roman" w:cs="Times New Roman"/>
          <w:sz w:val="20"/>
          <w:szCs w:val="20"/>
        </w:rPr>
      </w:pPr>
    </w:p>
    <w:p w14:paraId="1F825626" w14:textId="1A003EC9" w:rsidR="004D77C5" w:rsidRDefault="004D77C5" w:rsidP="00D633B8">
      <w:pPr>
        <w:ind w:firstLine="720"/>
        <w:rPr>
          <w:rFonts w:ascii="Times New Roman" w:hAnsi="Times New Roman" w:cs="Times New Roman"/>
          <w:sz w:val="20"/>
          <w:szCs w:val="20"/>
        </w:rPr>
      </w:pPr>
      <w:r>
        <w:rPr>
          <w:rFonts w:ascii="Times New Roman" w:hAnsi="Times New Roman" w:cs="Times New Roman"/>
          <w:sz w:val="20"/>
          <w:szCs w:val="20"/>
        </w:rPr>
        <w:t>A site for an oil well is under consideration to drill or not to drill.  The outcomes defined for the well in this region are dry, small reserve well and large reserv</w:t>
      </w:r>
      <w:r w:rsidR="008B6712">
        <w:rPr>
          <w:rFonts w:ascii="Times New Roman" w:hAnsi="Times New Roman" w:cs="Times New Roman"/>
          <w:sz w:val="20"/>
          <w:szCs w:val="20"/>
        </w:rPr>
        <w:t>e well</w:t>
      </w:r>
      <w:r>
        <w:rPr>
          <w:rFonts w:ascii="Times New Roman" w:hAnsi="Times New Roman" w:cs="Times New Roman"/>
          <w:sz w:val="20"/>
          <w:szCs w:val="20"/>
        </w:rPr>
        <w:t xml:space="preserve">.  </w:t>
      </w:r>
      <w:r w:rsidR="008B6712">
        <w:rPr>
          <w:rFonts w:ascii="Times New Roman" w:hAnsi="Times New Roman" w:cs="Times New Roman"/>
          <w:sz w:val="20"/>
          <w:szCs w:val="20"/>
        </w:rPr>
        <w:t>Since no information on the probability of the states of reserves is available</w:t>
      </w:r>
      <w:r w:rsidR="00954E9A">
        <w:rPr>
          <w:rFonts w:ascii="Times New Roman" w:hAnsi="Times New Roman" w:cs="Times New Roman"/>
          <w:sz w:val="20"/>
          <w:szCs w:val="20"/>
        </w:rPr>
        <w:t xml:space="preserve"> in this region</w:t>
      </w:r>
      <w:r w:rsidR="008B6712">
        <w:rPr>
          <w:rFonts w:ascii="Times New Roman" w:hAnsi="Times New Roman" w:cs="Times New Roman"/>
          <w:sz w:val="20"/>
          <w:szCs w:val="20"/>
        </w:rPr>
        <w:t xml:space="preserve">, a non-informative prior is assumed as a uniform distribution.  </w:t>
      </w:r>
      <w:r>
        <w:rPr>
          <w:rFonts w:ascii="Times New Roman" w:hAnsi="Times New Roman" w:cs="Times New Roman"/>
          <w:sz w:val="20"/>
          <w:szCs w:val="20"/>
        </w:rPr>
        <w:t>The payoffs estimated for this region are given in the table.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839"/>
        <w:gridCol w:w="928"/>
        <w:gridCol w:w="761"/>
        <w:gridCol w:w="861"/>
        <w:gridCol w:w="222"/>
      </w:tblGrid>
      <w:tr w:rsidR="004D77C5" w14:paraId="3D2E4D42" w14:textId="77777777" w:rsidTr="004D77C5">
        <w:trPr>
          <w:jc w:val="center"/>
        </w:trPr>
        <w:tc>
          <w:tcPr>
            <w:tcW w:w="0" w:type="auto"/>
            <w:tcBorders>
              <w:top w:val="thinThickLargeGap" w:sz="24" w:space="0" w:color="auto"/>
              <w:left w:val="thinThickLargeGap" w:sz="24" w:space="0" w:color="auto"/>
              <w:bottom w:val="nil"/>
              <w:right w:val="nil"/>
            </w:tcBorders>
            <w:vAlign w:val="center"/>
          </w:tcPr>
          <w:p w14:paraId="37051EAC" w14:textId="77777777" w:rsidR="004D77C5" w:rsidRDefault="004D77C5" w:rsidP="004D77C5">
            <w:pPr>
              <w:jc w:val="center"/>
              <w:rPr>
                <w:rFonts w:ascii="Times New Roman" w:hAnsi="Times New Roman" w:cs="Times New Roman"/>
                <w:sz w:val="20"/>
                <w:szCs w:val="20"/>
              </w:rPr>
            </w:pPr>
          </w:p>
        </w:tc>
        <w:tc>
          <w:tcPr>
            <w:tcW w:w="0" w:type="auto"/>
            <w:tcBorders>
              <w:top w:val="thinThickLargeGap" w:sz="24" w:space="0" w:color="auto"/>
              <w:left w:val="nil"/>
              <w:bottom w:val="nil"/>
              <w:right w:val="nil"/>
            </w:tcBorders>
            <w:vAlign w:val="center"/>
          </w:tcPr>
          <w:p w14:paraId="5A76874C" w14:textId="77777777" w:rsidR="004D77C5" w:rsidRDefault="004D77C5" w:rsidP="004D77C5">
            <w:pPr>
              <w:jc w:val="center"/>
              <w:rPr>
                <w:rFonts w:ascii="Times New Roman" w:hAnsi="Times New Roman" w:cs="Times New Roman"/>
                <w:sz w:val="20"/>
                <w:szCs w:val="20"/>
              </w:rPr>
            </w:pPr>
          </w:p>
        </w:tc>
        <w:tc>
          <w:tcPr>
            <w:tcW w:w="0" w:type="auto"/>
            <w:tcBorders>
              <w:top w:val="thinThickLargeGap" w:sz="24" w:space="0" w:color="auto"/>
              <w:left w:val="nil"/>
              <w:bottom w:val="nil"/>
              <w:right w:val="nil"/>
            </w:tcBorders>
            <w:vAlign w:val="center"/>
          </w:tcPr>
          <w:p w14:paraId="10314E25" w14:textId="77777777" w:rsidR="004D77C5" w:rsidRDefault="004D77C5" w:rsidP="004D77C5">
            <w:pPr>
              <w:jc w:val="center"/>
              <w:rPr>
                <w:rFonts w:ascii="Times New Roman" w:hAnsi="Times New Roman" w:cs="Times New Roman"/>
                <w:sz w:val="20"/>
                <w:szCs w:val="20"/>
              </w:rPr>
            </w:pPr>
          </w:p>
        </w:tc>
        <w:tc>
          <w:tcPr>
            <w:tcW w:w="0" w:type="auto"/>
            <w:tcBorders>
              <w:top w:val="thinThickLargeGap" w:sz="24" w:space="0" w:color="auto"/>
              <w:left w:val="nil"/>
              <w:bottom w:val="nil"/>
              <w:right w:val="nil"/>
            </w:tcBorders>
            <w:vAlign w:val="center"/>
          </w:tcPr>
          <w:p w14:paraId="4E8FAB9F" w14:textId="77777777" w:rsidR="004D77C5" w:rsidRDefault="004D77C5" w:rsidP="004D77C5">
            <w:pPr>
              <w:jc w:val="center"/>
              <w:rPr>
                <w:rFonts w:ascii="Times New Roman" w:hAnsi="Times New Roman" w:cs="Times New Roman"/>
                <w:sz w:val="20"/>
                <w:szCs w:val="20"/>
              </w:rPr>
            </w:pPr>
          </w:p>
        </w:tc>
        <w:tc>
          <w:tcPr>
            <w:tcW w:w="0" w:type="auto"/>
            <w:tcBorders>
              <w:top w:val="thinThickLargeGap" w:sz="24" w:space="0" w:color="auto"/>
              <w:left w:val="nil"/>
              <w:bottom w:val="nil"/>
              <w:right w:val="nil"/>
            </w:tcBorders>
          </w:tcPr>
          <w:p w14:paraId="7D5012F2" w14:textId="77777777" w:rsidR="004D77C5" w:rsidRDefault="004D77C5" w:rsidP="004D77C5">
            <w:pPr>
              <w:jc w:val="center"/>
              <w:rPr>
                <w:rFonts w:ascii="Times New Roman" w:hAnsi="Times New Roman" w:cs="Times New Roman"/>
                <w:sz w:val="20"/>
                <w:szCs w:val="20"/>
              </w:rPr>
            </w:pPr>
          </w:p>
        </w:tc>
        <w:tc>
          <w:tcPr>
            <w:tcW w:w="0" w:type="auto"/>
            <w:tcBorders>
              <w:top w:val="thinThickLargeGap" w:sz="24" w:space="0" w:color="auto"/>
              <w:left w:val="nil"/>
              <w:bottom w:val="nil"/>
              <w:right w:val="thickThinLargeGap" w:sz="24" w:space="0" w:color="auto"/>
            </w:tcBorders>
          </w:tcPr>
          <w:p w14:paraId="78B7C5DB" w14:textId="4613B694" w:rsidR="004D77C5" w:rsidRDefault="004D77C5" w:rsidP="004D77C5">
            <w:pPr>
              <w:jc w:val="center"/>
              <w:rPr>
                <w:rFonts w:ascii="Times New Roman" w:hAnsi="Times New Roman" w:cs="Times New Roman"/>
                <w:sz w:val="20"/>
                <w:szCs w:val="20"/>
              </w:rPr>
            </w:pPr>
          </w:p>
        </w:tc>
      </w:tr>
      <w:tr w:rsidR="004D77C5" w14:paraId="0ABC7542" w14:textId="77777777" w:rsidTr="004D77C5">
        <w:trPr>
          <w:jc w:val="center"/>
        </w:trPr>
        <w:tc>
          <w:tcPr>
            <w:tcW w:w="0" w:type="auto"/>
            <w:tcBorders>
              <w:top w:val="nil"/>
              <w:left w:val="thinThickLargeGap" w:sz="24" w:space="0" w:color="auto"/>
              <w:bottom w:val="nil"/>
              <w:right w:val="nil"/>
            </w:tcBorders>
            <w:vAlign w:val="center"/>
          </w:tcPr>
          <w:p w14:paraId="3456A9A1" w14:textId="77777777" w:rsidR="004D77C5" w:rsidRDefault="004D77C5" w:rsidP="004D77C5">
            <w:pPr>
              <w:jc w:val="center"/>
              <w:rPr>
                <w:rFonts w:ascii="Times New Roman" w:hAnsi="Times New Roman" w:cs="Times New Roman"/>
                <w:sz w:val="20"/>
                <w:szCs w:val="20"/>
              </w:rPr>
            </w:pPr>
          </w:p>
        </w:tc>
        <w:tc>
          <w:tcPr>
            <w:tcW w:w="0" w:type="auto"/>
            <w:vAlign w:val="center"/>
          </w:tcPr>
          <w:p w14:paraId="7BB6585B" w14:textId="77777777" w:rsidR="004D77C5" w:rsidRDefault="004D77C5" w:rsidP="004D77C5">
            <w:pPr>
              <w:jc w:val="center"/>
              <w:rPr>
                <w:rFonts w:ascii="Times New Roman" w:hAnsi="Times New Roman" w:cs="Times New Roman"/>
                <w:sz w:val="20"/>
                <w:szCs w:val="20"/>
              </w:rPr>
            </w:pPr>
          </w:p>
        </w:tc>
        <w:tc>
          <w:tcPr>
            <w:tcW w:w="0" w:type="auto"/>
            <w:gridSpan w:val="3"/>
            <w:tcBorders>
              <w:top w:val="nil"/>
              <w:left w:val="nil"/>
              <w:bottom w:val="single" w:sz="4" w:space="0" w:color="auto"/>
              <w:right w:val="nil"/>
            </w:tcBorders>
            <w:vAlign w:val="center"/>
            <w:hideMark/>
          </w:tcPr>
          <w:p w14:paraId="38AD83E0" w14:textId="1E83E8B9" w:rsidR="004D77C5" w:rsidRDefault="004D77C5" w:rsidP="004D77C5">
            <w:pPr>
              <w:jc w:val="center"/>
              <w:rPr>
                <w:rFonts w:ascii="Times New Roman" w:hAnsi="Times New Roman" w:cs="Times New Roman"/>
                <w:sz w:val="20"/>
                <w:szCs w:val="20"/>
              </w:rPr>
            </w:pPr>
            <w:r>
              <w:rPr>
                <w:rFonts w:ascii="Times New Roman" w:hAnsi="Times New Roman" w:cs="Times New Roman"/>
                <w:sz w:val="20"/>
                <w:szCs w:val="20"/>
              </w:rPr>
              <w:t>Reserves</w:t>
            </w:r>
          </w:p>
        </w:tc>
        <w:tc>
          <w:tcPr>
            <w:tcW w:w="0" w:type="auto"/>
            <w:tcBorders>
              <w:top w:val="nil"/>
              <w:left w:val="nil"/>
              <w:bottom w:val="nil"/>
              <w:right w:val="thickThinLargeGap" w:sz="24" w:space="0" w:color="auto"/>
            </w:tcBorders>
          </w:tcPr>
          <w:p w14:paraId="507DF212" w14:textId="03F3BD30" w:rsidR="004D77C5" w:rsidRDefault="004D77C5" w:rsidP="004D77C5">
            <w:pPr>
              <w:jc w:val="center"/>
              <w:rPr>
                <w:rFonts w:ascii="Times New Roman" w:hAnsi="Times New Roman" w:cs="Times New Roman"/>
                <w:sz w:val="20"/>
                <w:szCs w:val="20"/>
              </w:rPr>
            </w:pPr>
          </w:p>
        </w:tc>
      </w:tr>
      <w:tr w:rsidR="004D77C5" w14:paraId="752FC5CE" w14:textId="77777777" w:rsidTr="004D77C5">
        <w:trPr>
          <w:jc w:val="center"/>
        </w:trPr>
        <w:tc>
          <w:tcPr>
            <w:tcW w:w="0" w:type="auto"/>
            <w:tcBorders>
              <w:top w:val="nil"/>
              <w:left w:val="thinThickLargeGap" w:sz="24" w:space="0" w:color="auto"/>
              <w:bottom w:val="nil"/>
              <w:right w:val="nil"/>
            </w:tcBorders>
            <w:vAlign w:val="center"/>
          </w:tcPr>
          <w:p w14:paraId="7AEB1AD9" w14:textId="77777777" w:rsidR="004D77C5" w:rsidRDefault="004D77C5" w:rsidP="004D77C5">
            <w:pPr>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vAlign w:val="center"/>
            <w:hideMark/>
          </w:tcPr>
          <w:p w14:paraId="2871E7AD" w14:textId="77777777" w:rsidR="004D77C5" w:rsidRDefault="004D77C5" w:rsidP="004D77C5">
            <w:pPr>
              <w:jc w:val="center"/>
              <w:rPr>
                <w:rFonts w:ascii="Times New Roman" w:hAnsi="Times New Roman" w:cs="Times New Roman"/>
                <w:sz w:val="20"/>
                <w:szCs w:val="20"/>
              </w:rPr>
            </w:pPr>
            <w:r>
              <w:rPr>
                <w:rFonts w:ascii="Times New Roman" w:hAnsi="Times New Roman" w:cs="Times New Roman"/>
                <w:sz w:val="20"/>
                <w:szCs w:val="20"/>
              </w:rPr>
              <w:t>Payoff</w:t>
            </w:r>
          </w:p>
        </w:tc>
        <w:tc>
          <w:tcPr>
            <w:tcW w:w="0" w:type="auto"/>
            <w:tcBorders>
              <w:top w:val="single" w:sz="4" w:space="0" w:color="auto"/>
              <w:left w:val="single" w:sz="4" w:space="0" w:color="auto"/>
              <w:bottom w:val="single" w:sz="4" w:space="0" w:color="auto"/>
            </w:tcBorders>
            <w:vAlign w:val="center"/>
            <w:hideMark/>
          </w:tcPr>
          <w:p w14:paraId="34D1A09B" w14:textId="5D5CB670" w:rsidR="004D77C5" w:rsidRDefault="004D77C5" w:rsidP="004D77C5">
            <w:pPr>
              <w:jc w:val="center"/>
              <w:rPr>
                <w:rFonts w:ascii="Times New Roman" w:hAnsi="Times New Roman" w:cs="Times New Roman"/>
                <w:sz w:val="20"/>
                <w:szCs w:val="20"/>
              </w:rPr>
            </w:pPr>
            <w:r>
              <w:rPr>
                <w:rFonts w:ascii="Times New Roman" w:hAnsi="Times New Roman" w:cs="Times New Roman"/>
                <w:sz w:val="20"/>
                <w:szCs w:val="20"/>
              </w:rPr>
              <w:t>Dry</w:t>
            </w:r>
          </w:p>
        </w:tc>
        <w:tc>
          <w:tcPr>
            <w:tcW w:w="0" w:type="auto"/>
            <w:tcBorders>
              <w:top w:val="single" w:sz="4" w:space="0" w:color="auto"/>
              <w:bottom w:val="single" w:sz="4" w:space="0" w:color="auto"/>
            </w:tcBorders>
            <w:vAlign w:val="center"/>
            <w:hideMark/>
          </w:tcPr>
          <w:p w14:paraId="690B1C18" w14:textId="77D03E03" w:rsidR="004D77C5" w:rsidRDefault="004D77C5" w:rsidP="004D77C5">
            <w:pPr>
              <w:jc w:val="center"/>
              <w:rPr>
                <w:rFonts w:ascii="Times New Roman" w:hAnsi="Times New Roman" w:cs="Times New Roman"/>
                <w:sz w:val="20"/>
                <w:szCs w:val="20"/>
              </w:rPr>
            </w:pPr>
            <w:r>
              <w:rPr>
                <w:rFonts w:ascii="Times New Roman" w:hAnsi="Times New Roman" w:cs="Times New Roman"/>
                <w:sz w:val="20"/>
                <w:szCs w:val="20"/>
              </w:rPr>
              <w:t>Small</w:t>
            </w:r>
          </w:p>
        </w:tc>
        <w:tc>
          <w:tcPr>
            <w:tcW w:w="0" w:type="auto"/>
            <w:tcBorders>
              <w:top w:val="single" w:sz="4" w:space="0" w:color="auto"/>
              <w:bottom w:val="single" w:sz="4" w:space="0" w:color="auto"/>
              <w:right w:val="single" w:sz="4" w:space="0" w:color="auto"/>
            </w:tcBorders>
          </w:tcPr>
          <w:p w14:paraId="32994E41" w14:textId="673D8B9D" w:rsidR="004D77C5" w:rsidRDefault="004D77C5" w:rsidP="004D77C5">
            <w:pPr>
              <w:jc w:val="center"/>
              <w:rPr>
                <w:rFonts w:ascii="Times New Roman" w:hAnsi="Times New Roman" w:cs="Times New Roman"/>
                <w:sz w:val="20"/>
                <w:szCs w:val="20"/>
              </w:rPr>
            </w:pPr>
            <w:r>
              <w:rPr>
                <w:rFonts w:ascii="Times New Roman" w:hAnsi="Times New Roman" w:cs="Times New Roman"/>
                <w:sz w:val="20"/>
                <w:szCs w:val="20"/>
              </w:rPr>
              <w:t>Large</w:t>
            </w:r>
          </w:p>
        </w:tc>
        <w:tc>
          <w:tcPr>
            <w:tcW w:w="0" w:type="auto"/>
            <w:tcBorders>
              <w:top w:val="nil"/>
              <w:left w:val="single" w:sz="4" w:space="0" w:color="auto"/>
              <w:bottom w:val="nil"/>
              <w:right w:val="thickThinLargeGap" w:sz="24" w:space="0" w:color="auto"/>
            </w:tcBorders>
          </w:tcPr>
          <w:p w14:paraId="6A41B0FD" w14:textId="73A8ED02" w:rsidR="004D77C5" w:rsidRDefault="004D77C5" w:rsidP="004D77C5">
            <w:pPr>
              <w:jc w:val="center"/>
              <w:rPr>
                <w:rFonts w:ascii="Times New Roman" w:hAnsi="Times New Roman" w:cs="Times New Roman"/>
                <w:sz w:val="20"/>
                <w:szCs w:val="20"/>
              </w:rPr>
            </w:pPr>
          </w:p>
        </w:tc>
      </w:tr>
      <w:tr w:rsidR="004D77C5" w14:paraId="27715297" w14:textId="77777777" w:rsidTr="004D77C5">
        <w:trPr>
          <w:jc w:val="center"/>
        </w:trPr>
        <w:tc>
          <w:tcPr>
            <w:tcW w:w="0" w:type="auto"/>
            <w:tcBorders>
              <w:top w:val="nil"/>
              <w:left w:val="thinThickLargeGap" w:sz="24" w:space="0" w:color="auto"/>
              <w:bottom w:val="nil"/>
              <w:right w:val="nil"/>
            </w:tcBorders>
            <w:vAlign w:val="center"/>
          </w:tcPr>
          <w:p w14:paraId="44C45F41" w14:textId="77777777" w:rsidR="004D77C5" w:rsidRDefault="004D77C5" w:rsidP="004D77C5">
            <w:pPr>
              <w:jc w:val="center"/>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vAlign w:val="center"/>
            <w:hideMark/>
          </w:tcPr>
          <w:p w14:paraId="3C871E59" w14:textId="583E78B7" w:rsidR="004D77C5" w:rsidRDefault="004D77C5" w:rsidP="004D77C5">
            <w:pPr>
              <w:jc w:val="center"/>
              <w:rPr>
                <w:rFonts w:ascii="Times New Roman" w:hAnsi="Times New Roman" w:cs="Times New Roman"/>
                <w:sz w:val="20"/>
                <w:szCs w:val="20"/>
              </w:rPr>
            </w:pPr>
            <w:r>
              <w:rPr>
                <w:rFonts w:ascii="Times New Roman" w:hAnsi="Times New Roman" w:cs="Times New Roman"/>
                <w:sz w:val="20"/>
                <w:szCs w:val="20"/>
              </w:rPr>
              <w:t>Drill</w:t>
            </w:r>
          </w:p>
        </w:tc>
        <w:tc>
          <w:tcPr>
            <w:tcW w:w="0" w:type="auto"/>
            <w:tcBorders>
              <w:top w:val="single" w:sz="4" w:space="0" w:color="auto"/>
              <w:left w:val="single" w:sz="4" w:space="0" w:color="auto"/>
              <w:bottom w:val="single" w:sz="4" w:space="0" w:color="auto"/>
              <w:right w:val="single" w:sz="4" w:space="0" w:color="auto"/>
            </w:tcBorders>
            <w:vAlign w:val="center"/>
            <w:hideMark/>
          </w:tcPr>
          <w:p w14:paraId="26A41F17" w14:textId="573600C6" w:rsidR="004D77C5" w:rsidRDefault="004D77C5" w:rsidP="004D77C5">
            <w:pPr>
              <w:jc w:val="center"/>
              <w:rPr>
                <w:rFonts w:ascii="Times New Roman" w:hAnsi="Times New Roman" w:cs="Times New Roman"/>
                <w:sz w:val="20"/>
                <w:szCs w:val="20"/>
              </w:rPr>
            </w:pPr>
            <w:r>
              <w:rPr>
                <w:rFonts w:ascii="Times New Roman" w:hAnsi="Times New Roman" w:cs="Times New Roman"/>
                <w:sz w:val="20"/>
                <w:szCs w:val="20"/>
              </w:rPr>
              <w:t>-$</w:t>
            </w:r>
            <w:r w:rsidR="00954E9A">
              <w:rPr>
                <w:rFonts w:ascii="Times New Roman" w:hAnsi="Times New Roman" w:cs="Times New Roman"/>
                <w:sz w:val="20"/>
                <w:szCs w:val="20"/>
              </w:rPr>
              <w:t>2</w:t>
            </w:r>
            <w:r>
              <w:rPr>
                <w:rFonts w:ascii="Times New Roman" w:hAnsi="Times New Roman" w:cs="Times New Roman"/>
                <w:sz w:val="20"/>
                <w:szCs w:val="20"/>
              </w:rPr>
              <w:t>000K</w:t>
            </w:r>
          </w:p>
        </w:tc>
        <w:tc>
          <w:tcPr>
            <w:tcW w:w="0" w:type="auto"/>
            <w:tcBorders>
              <w:top w:val="single" w:sz="4" w:space="0" w:color="auto"/>
              <w:left w:val="single" w:sz="4" w:space="0" w:color="auto"/>
              <w:bottom w:val="single" w:sz="4" w:space="0" w:color="auto"/>
              <w:right w:val="single" w:sz="4" w:space="0" w:color="auto"/>
            </w:tcBorders>
            <w:vAlign w:val="center"/>
            <w:hideMark/>
          </w:tcPr>
          <w:p w14:paraId="01497845" w14:textId="1194720D" w:rsidR="004D77C5" w:rsidRDefault="004D77C5" w:rsidP="004D77C5">
            <w:pPr>
              <w:jc w:val="center"/>
              <w:rPr>
                <w:rFonts w:ascii="Times New Roman" w:hAnsi="Times New Roman" w:cs="Times New Roman"/>
                <w:sz w:val="20"/>
                <w:szCs w:val="20"/>
              </w:rPr>
            </w:pPr>
            <w:r>
              <w:rPr>
                <w:rFonts w:ascii="Times New Roman" w:hAnsi="Times New Roman" w:cs="Times New Roman"/>
                <w:sz w:val="20"/>
                <w:szCs w:val="20"/>
              </w:rPr>
              <w:t>$</w:t>
            </w:r>
            <w:r w:rsidR="00954E9A">
              <w:rPr>
                <w:rFonts w:ascii="Times New Roman" w:hAnsi="Times New Roman" w:cs="Times New Roman"/>
                <w:sz w:val="20"/>
                <w:szCs w:val="20"/>
              </w:rPr>
              <w:t>5</w:t>
            </w:r>
            <w:r>
              <w:rPr>
                <w:rFonts w:ascii="Times New Roman" w:hAnsi="Times New Roman" w:cs="Times New Roman"/>
                <w:sz w:val="20"/>
                <w:szCs w:val="20"/>
              </w:rPr>
              <w:t>00K</w:t>
            </w:r>
          </w:p>
        </w:tc>
        <w:tc>
          <w:tcPr>
            <w:tcW w:w="0" w:type="auto"/>
            <w:tcBorders>
              <w:top w:val="single" w:sz="4" w:space="0" w:color="auto"/>
              <w:left w:val="single" w:sz="4" w:space="0" w:color="auto"/>
              <w:bottom w:val="single" w:sz="4" w:space="0" w:color="auto"/>
              <w:right w:val="single" w:sz="4" w:space="0" w:color="auto"/>
            </w:tcBorders>
          </w:tcPr>
          <w:p w14:paraId="64307529" w14:textId="692C4299" w:rsidR="004D77C5" w:rsidRDefault="004D77C5" w:rsidP="004D77C5">
            <w:pPr>
              <w:jc w:val="center"/>
              <w:rPr>
                <w:rFonts w:ascii="Times New Roman" w:hAnsi="Times New Roman" w:cs="Times New Roman"/>
                <w:sz w:val="20"/>
                <w:szCs w:val="20"/>
              </w:rPr>
            </w:pPr>
            <w:r>
              <w:rPr>
                <w:rFonts w:ascii="Times New Roman" w:hAnsi="Times New Roman" w:cs="Times New Roman"/>
                <w:sz w:val="20"/>
                <w:szCs w:val="20"/>
              </w:rPr>
              <w:t>$</w:t>
            </w:r>
            <w:r w:rsidR="00954E9A">
              <w:rPr>
                <w:rFonts w:ascii="Times New Roman" w:hAnsi="Times New Roman" w:cs="Times New Roman"/>
                <w:sz w:val="20"/>
                <w:szCs w:val="20"/>
              </w:rPr>
              <w:t>3</w:t>
            </w:r>
            <w:r>
              <w:rPr>
                <w:rFonts w:ascii="Times New Roman" w:hAnsi="Times New Roman" w:cs="Times New Roman"/>
                <w:sz w:val="20"/>
                <w:szCs w:val="20"/>
              </w:rPr>
              <w:t>000K</w:t>
            </w:r>
          </w:p>
        </w:tc>
        <w:tc>
          <w:tcPr>
            <w:tcW w:w="0" w:type="auto"/>
            <w:tcBorders>
              <w:top w:val="nil"/>
              <w:left w:val="single" w:sz="4" w:space="0" w:color="auto"/>
              <w:bottom w:val="nil"/>
              <w:right w:val="thickThinLargeGap" w:sz="24" w:space="0" w:color="auto"/>
            </w:tcBorders>
          </w:tcPr>
          <w:p w14:paraId="7A97AA68" w14:textId="3E5BD613" w:rsidR="004D77C5" w:rsidRDefault="004D77C5" w:rsidP="004D77C5">
            <w:pPr>
              <w:jc w:val="center"/>
              <w:rPr>
                <w:rFonts w:ascii="Times New Roman" w:hAnsi="Times New Roman" w:cs="Times New Roman"/>
                <w:sz w:val="20"/>
                <w:szCs w:val="20"/>
              </w:rPr>
            </w:pPr>
          </w:p>
        </w:tc>
      </w:tr>
      <w:tr w:rsidR="004D77C5" w14:paraId="5B61D73B" w14:textId="77777777" w:rsidTr="004D77C5">
        <w:trPr>
          <w:jc w:val="center"/>
        </w:trPr>
        <w:tc>
          <w:tcPr>
            <w:tcW w:w="0" w:type="auto"/>
            <w:tcBorders>
              <w:top w:val="nil"/>
              <w:left w:val="thinThickLargeGap" w:sz="24" w:space="0" w:color="auto"/>
              <w:bottom w:val="nil"/>
              <w:right w:val="nil"/>
            </w:tcBorders>
            <w:vAlign w:val="center"/>
          </w:tcPr>
          <w:p w14:paraId="417A4525" w14:textId="77777777" w:rsidR="004D77C5" w:rsidRDefault="004D77C5" w:rsidP="004D77C5">
            <w:pPr>
              <w:jc w:val="center"/>
              <w:rPr>
                <w:rFonts w:ascii="Times New Roman" w:hAnsi="Times New Roman" w:cs="Times New Roman"/>
                <w:sz w:val="20"/>
                <w:szCs w:val="20"/>
              </w:rPr>
            </w:pPr>
          </w:p>
        </w:tc>
        <w:tc>
          <w:tcPr>
            <w:tcW w:w="0" w:type="auto"/>
            <w:tcBorders>
              <w:top w:val="nil"/>
              <w:left w:val="single" w:sz="4" w:space="0" w:color="auto"/>
              <w:bottom w:val="single" w:sz="4" w:space="0" w:color="auto"/>
              <w:right w:val="single" w:sz="4" w:space="0" w:color="auto"/>
            </w:tcBorders>
            <w:vAlign w:val="center"/>
            <w:hideMark/>
          </w:tcPr>
          <w:p w14:paraId="0ABB7190" w14:textId="4ECFCA45" w:rsidR="004D77C5" w:rsidRDefault="004D77C5" w:rsidP="004D77C5">
            <w:pPr>
              <w:jc w:val="center"/>
              <w:rPr>
                <w:rFonts w:ascii="Times New Roman" w:hAnsi="Times New Roman" w:cs="Times New Roman"/>
                <w:sz w:val="20"/>
                <w:szCs w:val="20"/>
              </w:rPr>
            </w:pPr>
            <w:proofErr w:type="spellStart"/>
            <w:r>
              <w:rPr>
                <w:rFonts w:ascii="Times New Roman" w:hAnsi="Times New Roman" w:cs="Times New Roman"/>
                <w:sz w:val="20"/>
                <w:szCs w:val="20"/>
              </w:rPr>
              <w:t>NoDrill</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540061FA" w14:textId="22354A62" w:rsidR="004D77C5" w:rsidRDefault="004D77C5" w:rsidP="004D77C5">
            <w:pPr>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DBB844B" w14:textId="78DD1DFB" w:rsidR="004D77C5" w:rsidRDefault="004D77C5" w:rsidP="004D77C5">
            <w:pPr>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14:paraId="0115BF9B" w14:textId="41CD2537" w:rsidR="004D77C5" w:rsidRDefault="004D77C5" w:rsidP="004D77C5">
            <w:pPr>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nil"/>
              <w:left w:val="single" w:sz="4" w:space="0" w:color="auto"/>
              <w:bottom w:val="nil"/>
              <w:right w:val="thickThinLargeGap" w:sz="24" w:space="0" w:color="auto"/>
            </w:tcBorders>
          </w:tcPr>
          <w:p w14:paraId="0DCF0E3C" w14:textId="320B9311" w:rsidR="004D77C5" w:rsidRDefault="004D77C5" w:rsidP="004D77C5">
            <w:pPr>
              <w:jc w:val="center"/>
              <w:rPr>
                <w:rFonts w:ascii="Times New Roman" w:hAnsi="Times New Roman" w:cs="Times New Roman"/>
                <w:sz w:val="20"/>
                <w:szCs w:val="20"/>
              </w:rPr>
            </w:pPr>
          </w:p>
        </w:tc>
      </w:tr>
      <w:tr w:rsidR="004D77C5" w14:paraId="41EA3EFB" w14:textId="77777777" w:rsidTr="004D77C5">
        <w:trPr>
          <w:jc w:val="center"/>
        </w:trPr>
        <w:tc>
          <w:tcPr>
            <w:tcW w:w="0" w:type="auto"/>
            <w:tcBorders>
              <w:top w:val="nil"/>
              <w:left w:val="thinThickLargeGap" w:sz="24" w:space="0" w:color="auto"/>
              <w:bottom w:val="thickThinLargeGap" w:sz="24" w:space="0" w:color="auto"/>
              <w:right w:val="nil"/>
            </w:tcBorders>
            <w:vAlign w:val="center"/>
          </w:tcPr>
          <w:p w14:paraId="538ADE8E" w14:textId="77777777" w:rsidR="004D77C5" w:rsidRDefault="004D77C5" w:rsidP="004D77C5">
            <w:pPr>
              <w:jc w:val="center"/>
              <w:rPr>
                <w:rFonts w:ascii="Times New Roman" w:hAnsi="Times New Roman" w:cs="Times New Roman"/>
                <w:sz w:val="20"/>
                <w:szCs w:val="20"/>
              </w:rPr>
            </w:pPr>
          </w:p>
        </w:tc>
        <w:tc>
          <w:tcPr>
            <w:tcW w:w="0" w:type="auto"/>
            <w:tcBorders>
              <w:top w:val="single" w:sz="4" w:space="0" w:color="auto"/>
              <w:left w:val="nil"/>
              <w:bottom w:val="thickThinLargeGap" w:sz="24" w:space="0" w:color="auto"/>
              <w:right w:val="nil"/>
            </w:tcBorders>
            <w:vAlign w:val="center"/>
          </w:tcPr>
          <w:p w14:paraId="1188CB8D" w14:textId="77777777" w:rsidR="004D77C5" w:rsidRDefault="004D77C5" w:rsidP="004D77C5">
            <w:pPr>
              <w:jc w:val="center"/>
              <w:rPr>
                <w:rFonts w:ascii="Times New Roman" w:hAnsi="Times New Roman" w:cs="Times New Roman"/>
                <w:sz w:val="20"/>
                <w:szCs w:val="20"/>
              </w:rPr>
            </w:pPr>
          </w:p>
        </w:tc>
        <w:tc>
          <w:tcPr>
            <w:tcW w:w="0" w:type="auto"/>
            <w:tcBorders>
              <w:top w:val="single" w:sz="4" w:space="0" w:color="auto"/>
              <w:left w:val="nil"/>
              <w:bottom w:val="thickThinLargeGap" w:sz="24" w:space="0" w:color="auto"/>
              <w:right w:val="nil"/>
            </w:tcBorders>
            <w:vAlign w:val="center"/>
          </w:tcPr>
          <w:p w14:paraId="47F58B28" w14:textId="77777777" w:rsidR="004D77C5" w:rsidRDefault="004D77C5" w:rsidP="004D77C5">
            <w:pPr>
              <w:jc w:val="center"/>
              <w:rPr>
                <w:rFonts w:ascii="Times New Roman" w:hAnsi="Times New Roman" w:cs="Times New Roman"/>
                <w:sz w:val="20"/>
                <w:szCs w:val="20"/>
              </w:rPr>
            </w:pPr>
          </w:p>
        </w:tc>
        <w:tc>
          <w:tcPr>
            <w:tcW w:w="0" w:type="auto"/>
            <w:tcBorders>
              <w:top w:val="single" w:sz="4" w:space="0" w:color="auto"/>
              <w:left w:val="nil"/>
              <w:bottom w:val="thickThinLargeGap" w:sz="24" w:space="0" w:color="auto"/>
              <w:right w:val="nil"/>
            </w:tcBorders>
            <w:vAlign w:val="center"/>
          </w:tcPr>
          <w:p w14:paraId="31E85A72" w14:textId="77777777" w:rsidR="004D77C5" w:rsidRDefault="004D77C5" w:rsidP="004D77C5">
            <w:pPr>
              <w:jc w:val="center"/>
              <w:rPr>
                <w:rFonts w:ascii="Times New Roman" w:hAnsi="Times New Roman" w:cs="Times New Roman"/>
                <w:sz w:val="20"/>
                <w:szCs w:val="20"/>
              </w:rPr>
            </w:pPr>
          </w:p>
        </w:tc>
        <w:tc>
          <w:tcPr>
            <w:tcW w:w="0" w:type="auto"/>
            <w:tcBorders>
              <w:top w:val="single" w:sz="4" w:space="0" w:color="auto"/>
              <w:left w:val="nil"/>
              <w:bottom w:val="thickThinLargeGap" w:sz="24" w:space="0" w:color="auto"/>
              <w:right w:val="nil"/>
            </w:tcBorders>
          </w:tcPr>
          <w:p w14:paraId="370E6E96" w14:textId="77777777" w:rsidR="004D77C5" w:rsidRDefault="004D77C5" w:rsidP="004D77C5">
            <w:pPr>
              <w:jc w:val="center"/>
              <w:rPr>
                <w:rFonts w:ascii="Times New Roman" w:hAnsi="Times New Roman" w:cs="Times New Roman"/>
                <w:sz w:val="20"/>
                <w:szCs w:val="20"/>
              </w:rPr>
            </w:pPr>
          </w:p>
        </w:tc>
        <w:tc>
          <w:tcPr>
            <w:tcW w:w="0" w:type="auto"/>
            <w:tcBorders>
              <w:top w:val="nil"/>
              <w:left w:val="nil"/>
              <w:bottom w:val="thickThinLargeGap" w:sz="24" w:space="0" w:color="auto"/>
              <w:right w:val="thickThinLargeGap" w:sz="24" w:space="0" w:color="auto"/>
            </w:tcBorders>
          </w:tcPr>
          <w:p w14:paraId="39E283E2" w14:textId="3A645B46" w:rsidR="004D77C5" w:rsidRDefault="004D77C5" w:rsidP="004D77C5">
            <w:pPr>
              <w:jc w:val="center"/>
              <w:rPr>
                <w:rFonts w:ascii="Times New Roman" w:hAnsi="Times New Roman" w:cs="Times New Roman"/>
                <w:sz w:val="20"/>
                <w:szCs w:val="20"/>
              </w:rPr>
            </w:pPr>
          </w:p>
        </w:tc>
      </w:tr>
    </w:tbl>
    <w:p w14:paraId="2BDAF3BB" w14:textId="77777777" w:rsidR="00CB7399" w:rsidRDefault="00CB7399" w:rsidP="00954E9A">
      <w:pPr>
        <w:ind w:firstLine="720"/>
        <w:rPr>
          <w:rFonts w:ascii="Times New Roman" w:hAnsi="Times New Roman" w:cs="Times New Roman"/>
          <w:sz w:val="20"/>
          <w:szCs w:val="20"/>
        </w:rPr>
      </w:pPr>
    </w:p>
    <w:p w14:paraId="10848569" w14:textId="054F1E2C" w:rsidR="00954E9A" w:rsidRDefault="00783602" w:rsidP="00954E9A">
      <w:pPr>
        <w:ind w:firstLine="720"/>
        <w:rPr>
          <w:rFonts w:ascii="Times New Roman" w:hAnsi="Times New Roman" w:cs="Times New Roman"/>
          <w:sz w:val="20"/>
          <w:szCs w:val="20"/>
        </w:rPr>
      </w:pPr>
      <w:r>
        <w:rPr>
          <w:rFonts w:ascii="Times New Roman" w:hAnsi="Times New Roman" w:cs="Times New Roman"/>
          <w:sz w:val="20"/>
          <w:szCs w:val="20"/>
        </w:rPr>
        <w:t>Information may be purchased from geophysical companies operating near the region under consideration</w:t>
      </w:r>
      <w:r w:rsidR="00CB7399">
        <w:rPr>
          <w:rFonts w:ascii="Times New Roman" w:hAnsi="Times New Roman" w:cs="Times New Roman"/>
          <w:sz w:val="20"/>
          <w:szCs w:val="20"/>
        </w:rPr>
        <w:t>.  However, reported performance from available companies indicate poor discrimination for the states of reserves in the region.</w:t>
      </w:r>
    </w:p>
    <w:p w14:paraId="5314C5D7" w14:textId="77777777" w:rsidR="00783602" w:rsidRDefault="00783602" w:rsidP="00954E9A">
      <w:pPr>
        <w:ind w:firstLine="720"/>
        <w:rPr>
          <w:rFonts w:ascii="Times New Roman" w:hAnsi="Times New Roman" w:cs="Times New Roman"/>
          <w:sz w:val="20"/>
          <w:szCs w:val="20"/>
        </w:rPr>
      </w:pPr>
    </w:p>
    <w:p w14:paraId="46FEB41B" w14:textId="4D11ED02" w:rsidR="00954E9A" w:rsidRDefault="00954E9A" w:rsidP="00954E9A">
      <w:pPr>
        <w:ind w:firstLine="720"/>
        <w:rPr>
          <w:rFonts w:ascii="Times New Roman" w:hAnsi="Times New Roman" w:cs="Times New Roman"/>
          <w:sz w:val="20"/>
          <w:szCs w:val="20"/>
        </w:rPr>
      </w:pPr>
      <w:r>
        <w:rPr>
          <w:rFonts w:ascii="Times New Roman" w:hAnsi="Times New Roman" w:cs="Times New Roman"/>
          <w:sz w:val="20"/>
          <w:szCs w:val="20"/>
        </w:rPr>
        <w:t xml:space="preserve">A small geophysical company can provide a positive or negative recommendation in the area after exploration for $50K.  Past performance for the small company based on a positive recommendation is given as 0.70, 0.75 and 0.88, for Dry, Small Reserves and Large Reserves, respectively.  </w:t>
      </w:r>
      <w:r w:rsidR="004D654D">
        <w:rPr>
          <w:rFonts w:ascii="Times New Roman" w:hAnsi="Times New Roman" w:cs="Times New Roman"/>
          <w:sz w:val="20"/>
          <w:szCs w:val="20"/>
        </w:rPr>
        <w:t>(Past performance is defined as in all the dry, small and large reserves</w:t>
      </w:r>
      <w:r w:rsidR="005647A6">
        <w:rPr>
          <w:rFonts w:ascii="Times New Roman" w:hAnsi="Times New Roman" w:cs="Times New Roman"/>
          <w:sz w:val="20"/>
          <w:szCs w:val="20"/>
        </w:rPr>
        <w:t xml:space="preserve"> observed</w:t>
      </w:r>
      <w:r w:rsidR="004D654D">
        <w:rPr>
          <w:rFonts w:ascii="Times New Roman" w:hAnsi="Times New Roman" w:cs="Times New Roman"/>
          <w:sz w:val="20"/>
          <w:szCs w:val="20"/>
        </w:rPr>
        <w:t xml:space="preserve">, the </w:t>
      </w:r>
      <w:r w:rsidR="005647A6">
        <w:rPr>
          <w:rFonts w:ascii="Times New Roman" w:hAnsi="Times New Roman" w:cs="Times New Roman"/>
          <w:sz w:val="20"/>
          <w:szCs w:val="20"/>
        </w:rPr>
        <w:t>percentage of positive recommendations were reported.)</w:t>
      </w:r>
    </w:p>
    <w:p w14:paraId="664D5F20" w14:textId="7AFF4DDC" w:rsidR="00954E9A" w:rsidRDefault="00954E9A" w:rsidP="00954E9A">
      <w:pPr>
        <w:ind w:firstLine="720"/>
        <w:rPr>
          <w:rFonts w:ascii="Times New Roman" w:hAnsi="Times New Roman" w:cs="Times New Roman"/>
          <w:sz w:val="20"/>
          <w:szCs w:val="20"/>
        </w:rPr>
      </w:pPr>
      <w:r w:rsidRPr="008B6712">
        <w:rPr>
          <w:rFonts w:ascii="Times New Roman" w:hAnsi="Times New Roman" w:cs="Times New Roman"/>
          <w:sz w:val="20"/>
          <w:szCs w:val="20"/>
        </w:rPr>
        <w:t xml:space="preserve"> </w:t>
      </w:r>
    </w:p>
    <w:p w14:paraId="41474071" w14:textId="6C489F8D" w:rsidR="00954E9A" w:rsidRDefault="00954E9A" w:rsidP="00954E9A">
      <w:pPr>
        <w:ind w:firstLine="720"/>
        <w:rPr>
          <w:rFonts w:ascii="Times New Roman" w:hAnsi="Times New Roman" w:cs="Times New Roman"/>
          <w:sz w:val="20"/>
          <w:szCs w:val="20"/>
        </w:rPr>
      </w:pPr>
      <w:r>
        <w:rPr>
          <w:rFonts w:ascii="Times New Roman" w:hAnsi="Times New Roman" w:cs="Times New Roman"/>
          <w:sz w:val="20"/>
          <w:szCs w:val="20"/>
        </w:rPr>
        <w:t>A large geophysical company can provide a positive or negative recommendation in the area after exploration for $100K.  Past performance for the small company based on a positive recommendation is given as 0.</w:t>
      </w:r>
      <w:r w:rsidR="00CB7399">
        <w:rPr>
          <w:rFonts w:ascii="Times New Roman" w:hAnsi="Times New Roman" w:cs="Times New Roman"/>
          <w:sz w:val="20"/>
          <w:szCs w:val="20"/>
        </w:rPr>
        <w:t>40</w:t>
      </w:r>
      <w:r>
        <w:rPr>
          <w:rFonts w:ascii="Times New Roman" w:hAnsi="Times New Roman" w:cs="Times New Roman"/>
          <w:sz w:val="20"/>
          <w:szCs w:val="20"/>
        </w:rPr>
        <w:t xml:space="preserve">, 0.64 and 0.70, for Dry, Small Reserves and Large Reserves, respectively.  </w:t>
      </w:r>
      <w:r w:rsidR="005647A6">
        <w:rPr>
          <w:rFonts w:ascii="Times New Roman" w:hAnsi="Times New Roman" w:cs="Times New Roman"/>
          <w:sz w:val="20"/>
          <w:szCs w:val="20"/>
        </w:rPr>
        <w:t>(Past performance is defined as in all the dry, small and large reserves observed, the percentage of positive recommendations were reported.)</w:t>
      </w:r>
    </w:p>
    <w:p w14:paraId="6B3E76FB" w14:textId="566761AF" w:rsidR="00AD288D" w:rsidRDefault="00AD288D" w:rsidP="00AD288D">
      <w:pPr>
        <w:rPr>
          <w:rFonts w:ascii="Times New Roman" w:hAnsi="Times New Roman" w:cs="Times New Roman"/>
          <w:sz w:val="20"/>
          <w:szCs w:val="20"/>
        </w:rPr>
      </w:pPr>
    </w:p>
    <w:p w14:paraId="571B62FF" w14:textId="4F0A16BE" w:rsidR="00AD288D" w:rsidRDefault="00AD288D" w:rsidP="00AD288D">
      <w:pPr>
        <w:rPr>
          <w:rFonts w:ascii="Times New Roman" w:hAnsi="Times New Roman" w:cs="Times New Roman"/>
          <w:sz w:val="20"/>
          <w:szCs w:val="20"/>
        </w:rPr>
      </w:pPr>
      <w:r>
        <w:rPr>
          <w:rFonts w:ascii="Times New Roman" w:hAnsi="Times New Roman" w:cs="Times New Roman"/>
          <w:sz w:val="20"/>
          <w:szCs w:val="20"/>
        </w:rPr>
        <w:t xml:space="preserve">A decision analysis </w:t>
      </w:r>
      <w:r w:rsidR="00FD1326">
        <w:rPr>
          <w:rFonts w:ascii="Times New Roman" w:hAnsi="Times New Roman" w:cs="Times New Roman"/>
          <w:sz w:val="20"/>
          <w:szCs w:val="20"/>
        </w:rPr>
        <w:t>reported the following results</w:t>
      </w:r>
      <w:r>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9350"/>
      </w:tblGrid>
      <w:tr w:rsidR="00AD288D" w14:paraId="3F655EBE" w14:textId="77777777" w:rsidTr="00AD288D">
        <w:tc>
          <w:tcPr>
            <w:tcW w:w="9350" w:type="dxa"/>
          </w:tcPr>
          <w:p w14:paraId="6FA802B2" w14:textId="77777777" w:rsidR="00AD288D" w:rsidRDefault="00AD288D" w:rsidP="00AD288D">
            <w:pPr>
              <w:rPr>
                <w:rFonts w:ascii="Times New Roman" w:hAnsi="Times New Roman" w:cs="Times New Roman"/>
                <w:sz w:val="20"/>
                <w:szCs w:val="20"/>
              </w:rPr>
            </w:pPr>
          </w:p>
          <w:p w14:paraId="1B7C68E4" w14:textId="580BEC92" w:rsidR="00AD288D" w:rsidRDefault="00AD288D" w:rsidP="00AD288D">
            <w:pPr>
              <w:rPr>
                <w:rFonts w:ascii="Times New Roman" w:hAnsi="Times New Roman" w:cs="Times New Roman"/>
                <w:sz w:val="20"/>
                <w:szCs w:val="20"/>
              </w:rPr>
            </w:pPr>
            <w:r>
              <w:rPr>
                <w:rFonts w:ascii="Times New Roman" w:hAnsi="Times New Roman" w:cs="Times New Roman"/>
                <w:sz w:val="20"/>
                <w:szCs w:val="20"/>
              </w:rPr>
              <w:t>Purchasing</w:t>
            </w:r>
            <w:r>
              <w:rPr>
                <w:rFonts w:ascii="Times New Roman" w:hAnsi="Times New Roman" w:cs="Times New Roman"/>
                <w:sz w:val="20"/>
                <w:szCs w:val="20"/>
              </w:rPr>
              <w:t xml:space="preserve"> no information, the decision is Drill with an expected profit of $500K.</w:t>
            </w:r>
          </w:p>
          <w:p w14:paraId="0ED0C0FB" w14:textId="77777777" w:rsidR="00AD288D" w:rsidRDefault="00AD288D" w:rsidP="00AD288D">
            <w:pPr>
              <w:rPr>
                <w:rFonts w:ascii="Times New Roman" w:hAnsi="Times New Roman" w:cs="Times New Roman"/>
                <w:sz w:val="20"/>
                <w:szCs w:val="20"/>
              </w:rPr>
            </w:pPr>
          </w:p>
          <w:p w14:paraId="798821F7" w14:textId="77777777" w:rsidR="00AD288D" w:rsidRDefault="00AD288D" w:rsidP="00AD288D">
            <w:pPr>
              <w:rPr>
                <w:rFonts w:ascii="Times New Roman" w:hAnsi="Times New Roman" w:cs="Times New Roman"/>
                <w:sz w:val="20"/>
                <w:szCs w:val="20"/>
              </w:rPr>
            </w:pPr>
            <w:r>
              <w:rPr>
                <w:rFonts w:ascii="Times New Roman" w:hAnsi="Times New Roman" w:cs="Times New Roman"/>
                <w:sz w:val="20"/>
                <w:szCs w:val="20"/>
              </w:rPr>
              <w:t>Purchasing information from the small geophysical company, the decision is to:</w:t>
            </w:r>
          </w:p>
          <w:p w14:paraId="768BF730" w14:textId="1ECAB19E" w:rsidR="00AD288D" w:rsidRDefault="00AD288D" w:rsidP="00AD288D">
            <w:pPr>
              <w:ind w:left="360"/>
              <w:rPr>
                <w:rFonts w:ascii="Times New Roman" w:hAnsi="Times New Roman" w:cs="Times New Roman"/>
                <w:sz w:val="20"/>
                <w:szCs w:val="20"/>
              </w:rPr>
            </w:pPr>
            <w:r>
              <w:rPr>
                <w:rFonts w:ascii="Times New Roman" w:hAnsi="Times New Roman" w:cs="Times New Roman"/>
                <w:sz w:val="20"/>
                <w:szCs w:val="20"/>
              </w:rPr>
              <w:t xml:space="preserve">Drill after a positive recommendation with an expected profit of </w:t>
            </w:r>
            <w:r w:rsidR="00613303">
              <w:rPr>
                <w:rFonts w:ascii="Times New Roman" w:hAnsi="Times New Roman" w:cs="Times New Roman"/>
                <w:sz w:val="20"/>
                <w:szCs w:val="20"/>
              </w:rPr>
              <w:t>about</w:t>
            </w:r>
            <w:r w:rsidR="00425530">
              <w:rPr>
                <w:rFonts w:ascii="Times New Roman" w:hAnsi="Times New Roman" w:cs="Times New Roman"/>
                <w:sz w:val="20"/>
                <w:szCs w:val="20"/>
              </w:rPr>
              <w:t xml:space="preserve"> </w:t>
            </w:r>
            <w:r>
              <w:rPr>
                <w:rFonts w:ascii="Times New Roman" w:hAnsi="Times New Roman" w:cs="Times New Roman"/>
                <w:sz w:val="20"/>
                <w:szCs w:val="20"/>
              </w:rPr>
              <w:t>$693K-$50K=$643K.</w:t>
            </w:r>
          </w:p>
          <w:p w14:paraId="7296F361" w14:textId="4637DFED" w:rsidR="00AD288D" w:rsidRDefault="00AD288D" w:rsidP="00AD288D">
            <w:pPr>
              <w:ind w:left="360"/>
              <w:rPr>
                <w:rFonts w:ascii="Times New Roman" w:hAnsi="Times New Roman" w:cs="Times New Roman"/>
                <w:sz w:val="20"/>
                <w:szCs w:val="20"/>
              </w:rPr>
            </w:pPr>
            <w:proofErr w:type="spellStart"/>
            <w:r>
              <w:rPr>
                <w:rFonts w:ascii="Times New Roman" w:hAnsi="Times New Roman" w:cs="Times New Roman"/>
                <w:sz w:val="20"/>
                <w:szCs w:val="20"/>
              </w:rPr>
              <w:t>NoDrill</w:t>
            </w:r>
            <w:proofErr w:type="spellEnd"/>
            <w:r>
              <w:rPr>
                <w:rFonts w:ascii="Times New Roman" w:hAnsi="Times New Roman" w:cs="Times New Roman"/>
                <w:sz w:val="20"/>
                <w:szCs w:val="20"/>
              </w:rPr>
              <w:t xml:space="preserve"> after a negative recommendation with a net profit of -$50K.</w:t>
            </w:r>
          </w:p>
          <w:p w14:paraId="68966C8C" w14:textId="2A9B60D0" w:rsidR="00613303" w:rsidRDefault="00613303" w:rsidP="00AD288D">
            <w:pPr>
              <w:ind w:left="360"/>
              <w:rPr>
                <w:rFonts w:ascii="Times New Roman" w:hAnsi="Times New Roman" w:cs="Times New Roman"/>
                <w:sz w:val="20"/>
                <w:szCs w:val="20"/>
              </w:rPr>
            </w:pPr>
            <w:r>
              <w:rPr>
                <w:rFonts w:ascii="Times New Roman" w:hAnsi="Times New Roman" w:cs="Times New Roman"/>
                <w:sz w:val="20"/>
                <w:szCs w:val="20"/>
              </w:rPr>
              <w:t>The expected value of the sample information is about $38.33K with a purchase price of $50K</w:t>
            </w:r>
          </w:p>
          <w:p w14:paraId="2403D5B0" w14:textId="77777777" w:rsidR="00AD288D" w:rsidRDefault="00AD288D" w:rsidP="00AD288D">
            <w:pPr>
              <w:rPr>
                <w:rFonts w:ascii="Times New Roman" w:hAnsi="Times New Roman" w:cs="Times New Roman"/>
                <w:sz w:val="20"/>
                <w:szCs w:val="20"/>
              </w:rPr>
            </w:pPr>
          </w:p>
          <w:p w14:paraId="422987BF" w14:textId="77777777" w:rsidR="00AD288D" w:rsidRDefault="00AD288D" w:rsidP="00AD288D">
            <w:pPr>
              <w:rPr>
                <w:rFonts w:ascii="Times New Roman" w:hAnsi="Times New Roman" w:cs="Times New Roman"/>
                <w:sz w:val="20"/>
                <w:szCs w:val="20"/>
              </w:rPr>
            </w:pPr>
            <w:r>
              <w:rPr>
                <w:rFonts w:ascii="Times New Roman" w:hAnsi="Times New Roman" w:cs="Times New Roman"/>
                <w:sz w:val="20"/>
                <w:szCs w:val="20"/>
              </w:rPr>
              <w:t>Purchasing information from the large geophysical company, the decision is to:</w:t>
            </w:r>
          </w:p>
          <w:p w14:paraId="4E4976D0" w14:textId="2C1BEA6F" w:rsidR="00AD288D" w:rsidRDefault="00AD288D" w:rsidP="00AD288D">
            <w:pPr>
              <w:ind w:left="360"/>
              <w:rPr>
                <w:rFonts w:ascii="Times New Roman" w:hAnsi="Times New Roman" w:cs="Times New Roman"/>
                <w:sz w:val="20"/>
                <w:szCs w:val="20"/>
              </w:rPr>
            </w:pPr>
            <w:r>
              <w:rPr>
                <w:rFonts w:ascii="Times New Roman" w:hAnsi="Times New Roman" w:cs="Times New Roman"/>
                <w:sz w:val="20"/>
                <w:szCs w:val="20"/>
              </w:rPr>
              <w:t>Drill after a positive recommendation with an expected profit of</w:t>
            </w:r>
            <w:r w:rsidR="00613303">
              <w:rPr>
                <w:rFonts w:ascii="Times New Roman" w:hAnsi="Times New Roman" w:cs="Times New Roman"/>
                <w:sz w:val="20"/>
                <w:szCs w:val="20"/>
              </w:rPr>
              <w:t xml:space="preserve"> about</w:t>
            </w:r>
            <w:r>
              <w:rPr>
                <w:rFonts w:ascii="Times New Roman" w:hAnsi="Times New Roman" w:cs="Times New Roman"/>
                <w:sz w:val="20"/>
                <w:szCs w:val="20"/>
              </w:rPr>
              <w:t xml:space="preserve"> $931K-$100K=$831K.</w:t>
            </w:r>
          </w:p>
          <w:p w14:paraId="735FEDE4" w14:textId="25DDD6A4" w:rsidR="00AD288D" w:rsidRDefault="00AD288D" w:rsidP="00AD288D">
            <w:pPr>
              <w:ind w:left="360"/>
              <w:rPr>
                <w:rFonts w:ascii="Times New Roman" w:hAnsi="Times New Roman" w:cs="Times New Roman"/>
                <w:sz w:val="20"/>
                <w:szCs w:val="20"/>
              </w:rPr>
            </w:pPr>
            <w:proofErr w:type="spellStart"/>
            <w:r>
              <w:rPr>
                <w:rFonts w:ascii="Times New Roman" w:hAnsi="Times New Roman" w:cs="Times New Roman"/>
                <w:sz w:val="20"/>
                <w:szCs w:val="20"/>
              </w:rPr>
              <w:t>NoDrill</w:t>
            </w:r>
            <w:proofErr w:type="spellEnd"/>
            <w:r>
              <w:rPr>
                <w:rFonts w:ascii="Times New Roman" w:hAnsi="Times New Roman" w:cs="Times New Roman"/>
                <w:sz w:val="20"/>
                <w:szCs w:val="20"/>
              </w:rPr>
              <w:t xml:space="preserve"> after a negative recommendation with a net profit of -$100K.</w:t>
            </w:r>
          </w:p>
          <w:p w14:paraId="4CE676AB" w14:textId="54B9D70F" w:rsidR="00613303" w:rsidRDefault="00613303" w:rsidP="00613303">
            <w:pPr>
              <w:ind w:left="360"/>
              <w:rPr>
                <w:rFonts w:ascii="Times New Roman" w:hAnsi="Times New Roman" w:cs="Times New Roman"/>
                <w:sz w:val="20"/>
                <w:szCs w:val="20"/>
              </w:rPr>
            </w:pPr>
            <w:r>
              <w:rPr>
                <w:rFonts w:ascii="Times New Roman" w:hAnsi="Times New Roman" w:cs="Times New Roman"/>
                <w:sz w:val="20"/>
                <w:szCs w:val="20"/>
              </w:rPr>
              <w:t>The expected value of the sample information is about $</w:t>
            </w:r>
            <w:r>
              <w:rPr>
                <w:rFonts w:ascii="Times New Roman" w:hAnsi="Times New Roman" w:cs="Times New Roman"/>
                <w:sz w:val="20"/>
                <w:szCs w:val="20"/>
              </w:rPr>
              <w:t>40</w:t>
            </w:r>
            <w:r>
              <w:rPr>
                <w:rFonts w:ascii="Times New Roman" w:hAnsi="Times New Roman" w:cs="Times New Roman"/>
                <w:sz w:val="20"/>
                <w:szCs w:val="20"/>
              </w:rPr>
              <w:t>K with a purchase price of $</w:t>
            </w:r>
            <w:r>
              <w:rPr>
                <w:rFonts w:ascii="Times New Roman" w:hAnsi="Times New Roman" w:cs="Times New Roman"/>
                <w:sz w:val="20"/>
                <w:szCs w:val="20"/>
              </w:rPr>
              <w:t>10</w:t>
            </w:r>
            <w:r>
              <w:rPr>
                <w:rFonts w:ascii="Times New Roman" w:hAnsi="Times New Roman" w:cs="Times New Roman"/>
                <w:sz w:val="20"/>
                <w:szCs w:val="20"/>
              </w:rPr>
              <w:t>0K</w:t>
            </w:r>
          </w:p>
          <w:p w14:paraId="29BC7F1E" w14:textId="649D9467" w:rsidR="00AD288D" w:rsidRDefault="00AD288D" w:rsidP="00AD288D">
            <w:pPr>
              <w:jc w:val="center"/>
              <w:rPr>
                <w:rFonts w:ascii="Times New Roman" w:hAnsi="Times New Roman" w:cs="Times New Roman"/>
                <w:sz w:val="20"/>
                <w:szCs w:val="20"/>
              </w:rPr>
            </w:pPr>
            <w:r>
              <w:rPr>
                <w:rFonts w:ascii="Times New Roman" w:hAnsi="Times New Roman" w:cs="Times New Roman"/>
                <w:sz w:val="20"/>
                <w:szCs w:val="20"/>
              </w:rPr>
              <w:t>. . .</w:t>
            </w:r>
          </w:p>
        </w:tc>
      </w:tr>
    </w:tbl>
    <w:p w14:paraId="18E831E5" w14:textId="77777777" w:rsidR="00A768F9" w:rsidRDefault="00A768F9">
      <w:pPr>
        <w:spacing w:line="259" w:lineRule="auto"/>
        <w:rPr>
          <w:rFonts w:ascii="Times New Roman" w:hAnsi="Times New Roman" w:cs="Times New Roman"/>
          <w:sz w:val="20"/>
          <w:szCs w:val="20"/>
        </w:rPr>
      </w:pPr>
    </w:p>
    <w:p w14:paraId="76DEB3B6" w14:textId="5E23A7C6" w:rsidR="0005252B" w:rsidRDefault="0005252B">
      <w:pPr>
        <w:spacing w:line="259" w:lineRule="auto"/>
        <w:rPr>
          <w:rFonts w:ascii="Times New Roman" w:hAnsi="Times New Roman" w:cs="Times New Roman"/>
          <w:sz w:val="20"/>
          <w:szCs w:val="20"/>
        </w:rPr>
      </w:pPr>
      <w:bookmarkStart w:id="0" w:name="_GoBack"/>
      <w:bookmarkEnd w:id="0"/>
      <w:r>
        <w:rPr>
          <w:rFonts w:ascii="Times New Roman" w:hAnsi="Times New Roman" w:cs="Times New Roman"/>
          <w:sz w:val="20"/>
          <w:szCs w:val="20"/>
        </w:rPr>
        <w:br w:type="page"/>
      </w:r>
    </w:p>
    <w:p w14:paraId="293EC827" w14:textId="6CE13328" w:rsidR="0009735E" w:rsidRDefault="0009735E">
      <w:pPr>
        <w:spacing w:line="259" w:lineRule="auto"/>
        <w:rPr>
          <w:rFonts w:ascii="Times New Roman" w:hAnsi="Times New Roman" w:cs="Times New Roman"/>
          <w:sz w:val="20"/>
          <w:szCs w:val="20"/>
        </w:rPr>
      </w:pPr>
      <w:r w:rsidRPr="0009735E">
        <w:rPr>
          <w:rFonts w:ascii="Times New Roman" w:hAnsi="Times New Roman" w:cs="Times New Roman"/>
          <w:noProof/>
          <w:sz w:val="20"/>
          <w:szCs w:val="20"/>
        </w:rPr>
        <w:lastRenderedPageBreak/>
        <w:drawing>
          <wp:inline distT="0" distB="0" distL="0" distR="0" wp14:anchorId="3E6F70A4" wp14:editId="38B70638">
            <wp:extent cx="5943600" cy="5607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5607050"/>
                    </a:xfrm>
                    <a:prstGeom prst="rect">
                      <a:avLst/>
                    </a:prstGeom>
                    <a:noFill/>
                    <a:ln>
                      <a:noFill/>
                    </a:ln>
                  </pic:spPr>
                </pic:pic>
              </a:graphicData>
            </a:graphic>
          </wp:inline>
        </w:drawing>
      </w:r>
    </w:p>
    <w:p w14:paraId="25F58CED" w14:textId="60766CA1" w:rsidR="0009735E" w:rsidRDefault="0009735E">
      <w:pPr>
        <w:spacing w:line="259" w:lineRule="auto"/>
        <w:rPr>
          <w:rFonts w:ascii="Times New Roman" w:hAnsi="Times New Roman" w:cs="Times New Roman"/>
          <w:sz w:val="20"/>
          <w:szCs w:val="20"/>
        </w:rPr>
      </w:pPr>
    </w:p>
    <w:p w14:paraId="3A3257F9" w14:textId="3865AC1F" w:rsidR="0009735E" w:rsidRDefault="0009735E">
      <w:pPr>
        <w:spacing w:line="259" w:lineRule="auto"/>
        <w:rPr>
          <w:rFonts w:ascii="Times New Roman" w:hAnsi="Times New Roman" w:cs="Times New Roman"/>
          <w:sz w:val="20"/>
          <w:szCs w:val="20"/>
        </w:rPr>
      </w:pPr>
      <w:r>
        <w:rPr>
          <w:rFonts w:ascii="Times New Roman" w:hAnsi="Times New Roman" w:cs="Times New Roman"/>
          <w:sz w:val="20"/>
          <w:szCs w:val="20"/>
        </w:rPr>
        <w:br w:type="page"/>
      </w:r>
    </w:p>
    <w:p w14:paraId="2F88F1BC" w14:textId="16025D27" w:rsidR="0009735E" w:rsidRDefault="0009735E">
      <w:pPr>
        <w:spacing w:line="259" w:lineRule="auto"/>
        <w:rPr>
          <w:rFonts w:ascii="Times New Roman" w:hAnsi="Times New Roman" w:cs="Times New Roman"/>
          <w:sz w:val="20"/>
          <w:szCs w:val="20"/>
        </w:rPr>
      </w:pPr>
    </w:p>
    <w:p w14:paraId="73BC6B0B" w14:textId="3CCA2AE3" w:rsidR="0009735E" w:rsidRDefault="0009735E">
      <w:pPr>
        <w:spacing w:line="259" w:lineRule="auto"/>
        <w:rPr>
          <w:rFonts w:ascii="Times New Roman" w:hAnsi="Times New Roman" w:cs="Times New Roman"/>
          <w:sz w:val="20"/>
          <w:szCs w:val="20"/>
        </w:rPr>
      </w:pPr>
      <w:r w:rsidRPr="0009735E">
        <w:rPr>
          <w:rFonts w:ascii="Times New Roman" w:hAnsi="Times New Roman" w:cs="Times New Roman"/>
          <w:noProof/>
          <w:sz w:val="20"/>
          <w:szCs w:val="20"/>
        </w:rPr>
        <w:drawing>
          <wp:inline distT="0" distB="0" distL="0" distR="0" wp14:anchorId="6E65C19F" wp14:editId="321E4E27">
            <wp:extent cx="5943600" cy="5607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5607050"/>
                    </a:xfrm>
                    <a:prstGeom prst="rect">
                      <a:avLst/>
                    </a:prstGeom>
                    <a:noFill/>
                    <a:ln>
                      <a:noFill/>
                    </a:ln>
                  </pic:spPr>
                </pic:pic>
              </a:graphicData>
            </a:graphic>
          </wp:inline>
        </w:drawing>
      </w:r>
    </w:p>
    <w:p w14:paraId="4BC831F4" w14:textId="5A3149C3" w:rsidR="0009735E" w:rsidRDefault="0009735E">
      <w:pPr>
        <w:spacing w:line="259" w:lineRule="auto"/>
        <w:rPr>
          <w:rFonts w:ascii="Times New Roman" w:hAnsi="Times New Roman" w:cs="Times New Roman"/>
          <w:sz w:val="20"/>
          <w:szCs w:val="20"/>
        </w:rPr>
      </w:pPr>
    </w:p>
    <w:p w14:paraId="2F98DA7B" w14:textId="77777777" w:rsidR="0009735E" w:rsidRDefault="0009735E">
      <w:pPr>
        <w:spacing w:line="259" w:lineRule="auto"/>
        <w:rPr>
          <w:rFonts w:ascii="Times New Roman" w:hAnsi="Times New Roman" w:cs="Times New Roman"/>
          <w:sz w:val="20"/>
          <w:szCs w:val="20"/>
        </w:rPr>
      </w:pPr>
    </w:p>
    <w:sectPr w:rsidR="000973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42200" w14:textId="77777777" w:rsidR="00054E21" w:rsidRDefault="00054E21" w:rsidP="008A6CD4">
      <w:r>
        <w:separator/>
      </w:r>
    </w:p>
  </w:endnote>
  <w:endnote w:type="continuationSeparator" w:id="0">
    <w:p w14:paraId="69594523" w14:textId="77777777" w:rsidR="00054E21" w:rsidRDefault="00054E21" w:rsidP="008A6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8456969"/>
      <w:docPartObj>
        <w:docPartGallery w:val="Page Numbers (Bottom of Page)"/>
        <w:docPartUnique/>
      </w:docPartObj>
    </w:sdtPr>
    <w:sdtEndPr>
      <w:rPr>
        <w:noProof/>
      </w:rPr>
    </w:sdtEndPr>
    <w:sdtContent>
      <w:p w14:paraId="3654282F" w14:textId="0B5ED851" w:rsidR="00954E9A" w:rsidRDefault="00613303">
        <w:pPr>
          <w:pStyle w:val="Footer"/>
          <w:jc w:val="center"/>
        </w:pPr>
        <w:r>
          <w:t xml:space="preserve">Page </w:t>
        </w:r>
        <w:r w:rsidR="00954E9A">
          <w:fldChar w:fldCharType="begin"/>
        </w:r>
        <w:r w:rsidR="00954E9A">
          <w:instrText xml:space="preserve"> PAGE   \* MERGEFORMAT </w:instrText>
        </w:r>
        <w:r w:rsidR="00954E9A">
          <w:fldChar w:fldCharType="separate"/>
        </w:r>
        <w:r w:rsidR="00891CC8">
          <w:rPr>
            <w:noProof/>
          </w:rPr>
          <w:t>3</w:t>
        </w:r>
        <w:r w:rsidR="00954E9A">
          <w:rPr>
            <w:noProof/>
          </w:rPr>
          <w:fldChar w:fldCharType="end"/>
        </w:r>
      </w:p>
    </w:sdtContent>
  </w:sdt>
  <w:p w14:paraId="4F463ECB" w14:textId="77777777" w:rsidR="00954E9A" w:rsidRDefault="00954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516D9" w14:textId="77777777" w:rsidR="00054E21" w:rsidRDefault="00054E21" w:rsidP="008A6CD4">
      <w:r>
        <w:separator/>
      </w:r>
    </w:p>
  </w:footnote>
  <w:footnote w:type="continuationSeparator" w:id="0">
    <w:p w14:paraId="4A6D5E48" w14:textId="77777777" w:rsidR="00054E21" w:rsidRDefault="00054E21" w:rsidP="008A6C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C87"/>
    <w:rsid w:val="00043308"/>
    <w:rsid w:val="0005252B"/>
    <w:rsid w:val="00054B88"/>
    <w:rsid w:val="00054E21"/>
    <w:rsid w:val="0009735E"/>
    <w:rsid w:val="000C2D41"/>
    <w:rsid w:val="000C333B"/>
    <w:rsid w:val="000D0E58"/>
    <w:rsid w:val="000E46DE"/>
    <w:rsid w:val="00105CBA"/>
    <w:rsid w:val="001215A0"/>
    <w:rsid w:val="00121EA9"/>
    <w:rsid w:val="00137E06"/>
    <w:rsid w:val="001A4B22"/>
    <w:rsid w:val="001A5E57"/>
    <w:rsid w:val="001B7F17"/>
    <w:rsid w:val="001E3BCC"/>
    <w:rsid w:val="00250994"/>
    <w:rsid w:val="002679C6"/>
    <w:rsid w:val="0028015A"/>
    <w:rsid w:val="002E3834"/>
    <w:rsid w:val="002F05C3"/>
    <w:rsid w:val="002F5F6E"/>
    <w:rsid w:val="00312CD9"/>
    <w:rsid w:val="00333F1B"/>
    <w:rsid w:val="003530ED"/>
    <w:rsid w:val="00356F33"/>
    <w:rsid w:val="0037002B"/>
    <w:rsid w:val="00380AC3"/>
    <w:rsid w:val="00382268"/>
    <w:rsid w:val="003A6DC2"/>
    <w:rsid w:val="003F6C87"/>
    <w:rsid w:val="004039B9"/>
    <w:rsid w:val="00425530"/>
    <w:rsid w:val="00445321"/>
    <w:rsid w:val="00494CB9"/>
    <w:rsid w:val="004C5189"/>
    <w:rsid w:val="004D654D"/>
    <w:rsid w:val="004D77C5"/>
    <w:rsid w:val="004E7097"/>
    <w:rsid w:val="0051477C"/>
    <w:rsid w:val="0052158B"/>
    <w:rsid w:val="005647A6"/>
    <w:rsid w:val="005957DC"/>
    <w:rsid w:val="005C79D1"/>
    <w:rsid w:val="00606D43"/>
    <w:rsid w:val="00613303"/>
    <w:rsid w:val="00630F33"/>
    <w:rsid w:val="006671D1"/>
    <w:rsid w:val="00671261"/>
    <w:rsid w:val="00700FBF"/>
    <w:rsid w:val="00710196"/>
    <w:rsid w:val="00733ADD"/>
    <w:rsid w:val="007620BB"/>
    <w:rsid w:val="00783602"/>
    <w:rsid w:val="00790CF3"/>
    <w:rsid w:val="007D2A83"/>
    <w:rsid w:val="00825987"/>
    <w:rsid w:val="008354F7"/>
    <w:rsid w:val="00840AA3"/>
    <w:rsid w:val="00891CC8"/>
    <w:rsid w:val="008A6C5B"/>
    <w:rsid w:val="008A6CD4"/>
    <w:rsid w:val="008B6712"/>
    <w:rsid w:val="009035DB"/>
    <w:rsid w:val="009143FF"/>
    <w:rsid w:val="0091591E"/>
    <w:rsid w:val="00954E9A"/>
    <w:rsid w:val="00967102"/>
    <w:rsid w:val="00996ADA"/>
    <w:rsid w:val="009A38E8"/>
    <w:rsid w:val="009A4D0B"/>
    <w:rsid w:val="009A7794"/>
    <w:rsid w:val="009C15C7"/>
    <w:rsid w:val="009C3AB6"/>
    <w:rsid w:val="009D41AB"/>
    <w:rsid w:val="009E65AD"/>
    <w:rsid w:val="00A51200"/>
    <w:rsid w:val="00A601B0"/>
    <w:rsid w:val="00A6642F"/>
    <w:rsid w:val="00A71C4F"/>
    <w:rsid w:val="00A768F9"/>
    <w:rsid w:val="00A81F77"/>
    <w:rsid w:val="00AA594A"/>
    <w:rsid w:val="00AD288D"/>
    <w:rsid w:val="00B52382"/>
    <w:rsid w:val="00B652CB"/>
    <w:rsid w:val="00BC69B8"/>
    <w:rsid w:val="00BD312B"/>
    <w:rsid w:val="00C0684C"/>
    <w:rsid w:val="00CB2CD5"/>
    <w:rsid w:val="00CB7399"/>
    <w:rsid w:val="00CE0100"/>
    <w:rsid w:val="00CE7ACD"/>
    <w:rsid w:val="00CF5F40"/>
    <w:rsid w:val="00D3547E"/>
    <w:rsid w:val="00D36482"/>
    <w:rsid w:val="00D633B8"/>
    <w:rsid w:val="00DB345D"/>
    <w:rsid w:val="00DF4E99"/>
    <w:rsid w:val="00E14822"/>
    <w:rsid w:val="00E239B3"/>
    <w:rsid w:val="00E83059"/>
    <w:rsid w:val="00E97525"/>
    <w:rsid w:val="00EB0255"/>
    <w:rsid w:val="00EB53C3"/>
    <w:rsid w:val="00EC2B6D"/>
    <w:rsid w:val="00EF3D98"/>
    <w:rsid w:val="00F14F52"/>
    <w:rsid w:val="00F169F6"/>
    <w:rsid w:val="00F439A7"/>
    <w:rsid w:val="00F74326"/>
    <w:rsid w:val="00F91CEF"/>
    <w:rsid w:val="00F92C0F"/>
    <w:rsid w:val="00FD1190"/>
    <w:rsid w:val="00FD1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F2AD6"/>
  <w15:chartTrackingRefBased/>
  <w15:docId w15:val="{06DA2D7C-BEAB-4471-B360-B19C8A586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3303"/>
    <w:pPr>
      <w:spacing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6C87"/>
    <w:rPr>
      <w:color w:val="0000FF"/>
      <w:u w:val="single"/>
    </w:rPr>
  </w:style>
  <w:style w:type="table" w:styleId="TableGrid">
    <w:name w:val="Table Grid"/>
    <w:basedOn w:val="TableNormal"/>
    <w:uiPriority w:val="39"/>
    <w:rsid w:val="00EF3D9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6CD4"/>
    <w:pPr>
      <w:tabs>
        <w:tab w:val="center" w:pos="4680"/>
        <w:tab w:val="right" w:pos="9360"/>
      </w:tabs>
    </w:pPr>
  </w:style>
  <w:style w:type="character" w:customStyle="1" w:styleId="HeaderChar">
    <w:name w:val="Header Char"/>
    <w:basedOn w:val="DefaultParagraphFont"/>
    <w:link w:val="Header"/>
    <w:uiPriority w:val="99"/>
    <w:rsid w:val="008A6CD4"/>
    <w:rPr>
      <w:rFonts w:ascii="Calibri" w:hAnsi="Calibri" w:cs="Calibri"/>
      <w:sz w:val="22"/>
    </w:rPr>
  </w:style>
  <w:style w:type="paragraph" w:styleId="Footer">
    <w:name w:val="footer"/>
    <w:basedOn w:val="Normal"/>
    <w:link w:val="FooterChar"/>
    <w:uiPriority w:val="99"/>
    <w:unhideWhenUsed/>
    <w:rsid w:val="008A6CD4"/>
    <w:pPr>
      <w:tabs>
        <w:tab w:val="center" w:pos="4680"/>
        <w:tab w:val="right" w:pos="9360"/>
      </w:tabs>
    </w:pPr>
  </w:style>
  <w:style w:type="character" w:customStyle="1" w:styleId="FooterChar">
    <w:name w:val="Footer Char"/>
    <w:basedOn w:val="DefaultParagraphFont"/>
    <w:link w:val="Footer"/>
    <w:uiPriority w:val="99"/>
    <w:rsid w:val="008A6CD4"/>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9943">
      <w:bodyDiv w:val="1"/>
      <w:marLeft w:val="0"/>
      <w:marRight w:val="0"/>
      <w:marTop w:val="0"/>
      <w:marBottom w:val="0"/>
      <w:divBdr>
        <w:top w:val="none" w:sz="0" w:space="0" w:color="auto"/>
        <w:left w:val="none" w:sz="0" w:space="0" w:color="auto"/>
        <w:bottom w:val="none" w:sz="0" w:space="0" w:color="auto"/>
        <w:right w:val="none" w:sz="0" w:space="0" w:color="auto"/>
      </w:divBdr>
    </w:div>
    <w:div w:id="36129588">
      <w:bodyDiv w:val="1"/>
      <w:marLeft w:val="0"/>
      <w:marRight w:val="0"/>
      <w:marTop w:val="0"/>
      <w:marBottom w:val="0"/>
      <w:divBdr>
        <w:top w:val="none" w:sz="0" w:space="0" w:color="auto"/>
        <w:left w:val="none" w:sz="0" w:space="0" w:color="auto"/>
        <w:bottom w:val="none" w:sz="0" w:space="0" w:color="auto"/>
        <w:right w:val="none" w:sz="0" w:space="0" w:color="auto"/>
      </w:divBdr>
    </w:div>
    <w:div w:id="126246016">
      <w:bodyDiv w:val="1"/>
      <w:marLeft w:val="0"/>
      <w:marRight w:val="0"/>
      <w:marTop w:val="0"/>
      <w:marBottom w:val="0"/>
      <w:divBdr>
        <w:top w:val="none" w:sz="0" w:space="0" w:color="auto"/>
        <w:left w:val="none" w:sz="0" w:space="0" w:color="auto"/>
        <w:bottom w:val="none" w:sz="0" w:space="0" w:color="auto"/>
        <w:right w:val="none" w:sz="0" w:space="0" w:color="auto"/>
      </w:divBdr>
    </w:div>
    <w:div w:id="205794387">
      <w:bodyDiv w:val="1"/>
      <w:marLeft w:val="0"/>
      <w:marRight w:val="0"/>
      <w:marTop w:val="0"/>
      <w:marBottom w:val="0"/>
      <w:divBdr>
        <w:top w:val="none" w:sz="0" w:space="0" w:color="auto"/>
        <w:left w:val="none" w:sz="0" w:space="0" w:color="auto"/>
        <w:bottom w:val="none" w:sz="0" w:space="0" w:color="auto"/>
        <w:right w:val="none" w:sz="0" w:space="0" w:color="auto"/>
      </w:divBdr>
    </w:div>
    <w:div w:id="420032748">
      <w:bodyDiv w:val="1"/>
      <w:marLeft w:val="0"/>
      <w:marRight w:val="0"/>
      <w:marTop w:val="0"/>
      <w:marBottom w:val="0"/>
      <w:divBdr>
        <w:top w:val="none" w:sz="0" w:space="0" w:color="auto"/>
        <w:left w:val="none" w:sz="0" w:space="0" w:color="auto"/>
        <w:bottom w:val="none" w:sz="0" w:space="0" w:color="auto"/>
        <w:right w:val="none" w:sz="0" w:space="0" w:color="auto"/>
      </w:divBdr>
    </w:div>
    <w:div w:id="664285709">
      <w:bodyDiv w:val="1"/>
      <w:marLeft w:val="0"/>
      <w:marRight w:val="0"/>
      <w:marTop w:val="0"/>
      <w:marBottom w:val="0"/>
      <w:divBdr>
        <w:top w:val="none" w:sz="0" w:space="0" w:color="auto"/>
        <w:left w:val="none" w:sz="0" w:space="0" w:color="auto"/>
        <w:bottom w:val="none" w:sz="0" w:space="0" w:color="auto"/>
        <w:right w:val="none" w:sz="0" w:space="0" w:color="auto"/>
      </w:divBdr>
    </w:div>
    <w:div w:id="1102261418">
      <w:bodyDiv w:val="1"/>
      <w:marLeft w:val="0"/>
      <w:marRight w:val="0"/>
      <w:marTop w:val="0"/>
      <w:marBottom w:val="0"/>
      <w:divBdr>
        <w:top w:val="none" w:sz="0" w:space="0" w:color="auto"/>
        <w:left w:val="none" w:sz="0" w:space="0" w:color="auto"/>
        <w:bottom w:val="none" w:sz="0" w:space="0" w:color="auto"/>
        <w:right w:val="none" w:sz="0" w:space="0" w:color="auto"/>
      </w:divBdr>
    </w:div>
    <w:div w:id="1265918820">
      <w:bodyDiv w:val="1"/>
      <w:marLeft w:val="0"/>
      <w:marRight w:val="0"/>
      <w:marTop w:val="0"/>
      <w:marBottom w:val="0"/>
      <w:divBdr>
        <w:top w:val="none" w:sz="0" w:space="0" w:color="auto"/>
        <w:left w:val="none" w:sz="0" w:space="0" w:color="auto"/>
        <w:bottom w:val="none" w:sz="0" w:space="0" w:color="auto"/>
        <w:right w:val="none" w:sz="0" w:space="0" w:color="auto"/>
      </w:divBdr>
    </w:div>
    <w:div w:id="1378047643">
      <w:bodyDiv w:val="1"/>
      <w:marLeft w:val="0"/>
      <w:marRight w:val="0"/>
      <w:marTop w:val="0"/>
      <w:marBottom w:val="0"/>
      <w:divBdr>
        <w:top w:val="none" w:sz="0" w:space="0" w:color="auto"/>
        <w:left w:val="none" w:sz="0" w:space="0" w:color="auto"/>
        <w:bottom w:val="none" w:sz="0" w:space="0" w:color="auto"/>
        <w:right w:val="none" w:sz="0" w:space="0" w:color="auto"/>
      </w:divBdr>
    </w:div>
    <w:div w:id="1402750167">
      <w:bodyDiv w:val="1"/>
      <w:marLeft w:val="0"/>
      <w:marRight w:val="0"/>
      <w:marTop w:val="0"/>
      <w:marBottom w:val="0"/>
      <w:divBdr>
        <w:top w:val="none" w:sz="0" w:space="0" w:color="auto"/>
        <w:left w:val="none" w:sz="0" w:space="0" w:color="auto"/>
        <w:bottom w:val="none" w:sz="0" w:space="0" w:color="auto"/>
        <w:right w:val="none" w:sz="0" w:space="0" w:color="auto"/>
      </w:divBdr>
    </w:div>
    <w:div w:id="1508324453">
      <w:bodyDiv w:val="1"/>
      <w:marLeft w:val="0"/>
      <w:marRight w:val="0"/>
      <w:marTop w:val="0"/>
      <w:marBottom w:val="0"/>
      <w:divBdr>
        <w:top w:val="none" w:sz="0" w:space="0" w:color="auto"/>
        <w:left w:val="none" w:sz="0" w:space="0" w:color="auto"/>
        <w:bottom w:val="none" w:sz="0" w:space="0" w:color="auto"/>
        <w:right w:val="none" w:sz="0" w:space="0" w:color="auto"/>
      </w:divBdr>
    </w:div>
    <w:div w:id="1522815577">
      <w:bodyDiv w:val="1"/>
      <w:marLeft w:val="0"/>
      <w:marRight w:val="0"/>
      <w:marTop w:val="0"/>
      <w:marBottom w:val="0"/>
      <w:divBdr>
        <w:top w:val="none" w:sz="0" w:space="0" w:color="auto"/>
        <w:left w:val="none" w:sz="0" w:space="0" w:color="auto"/>
        <w:bottom w:val="none" w:sz="0" w:space="0" w:color="auto"/>
        <w:right w:val="none" w:sz="0" w:space="0" w:color="auto"/>
      </w:divBdr>
    </w:div>
    <w:div w:id="1525241353">
      <w:bodyDiv w:val="1"/>
      <w:marLeft w:val="0"/>
      <w:marRight w:val="0"/>
      <w:marTop w:val="0"/>
      <w:marBottom w:val="0"/>
      <w:divBdr>
        <w:top w:val="none" w:sz="0" w:space="0" w:color="auto"/>
        <w:left w:val="none" w:sz="0" w:space="0" w:color="auto"/>
        <w:bottom w:val="none" w:sz="0" w:space="0" w:color="auto"/>
        <w:right w:val="none" w:sz="0" w:space="0" w:color="auto"/>
      </w:divBdr>
    </w:div>
    <w:div w:id="1611740354">
      <w:bodyDiv w:val="1"/>
      <w:marLeft w:val="0"/>
      <w:marRight w:val="0"/>
      <w:marTop w:val="0"/>
      <w:marBottom w:val="0"/>
      <w:divBdr>
        <w:top w:val="none" w:sz="0" w:space="0" w:color="auto"/>
        <w:left w:val="none" w:sz="0" w:space="0" w:color="auto"/>
        <w:bottom w:val="none" w:sz="0" w:space="0" w:color="auto"/>
        <w:right w:val="none" w:sz="0" w:space="0" w:color="auto"/>
      </w:divBdr>
    </w:div>
    <w:div w:id="1678459672">
      <w:bodyDiv w:val="1"/>
      <w:marLeft w:val="0"/>
      <w:marRight w:val="0"/>
      <w:marTop w:val="0"/>
      <w:marBottom w:val="0"/>
      <w:divBdr>
        <w:top w:val="none" w:sz="0" w:space="0" w:color="auto"/>
        <w:left w:val="none" w:sz="0" w:space="0" w:color="auto"/>
        <w:bottom w:val="none" w:sz="0" w:space="0" w:color="auto"/>
        <w:right w:val="none" w:sz="0" w:space="0" w:color="auto"/>
      </w:divBdr>
    </w:div>
    <w:div w:id="168967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3</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Harper</dc:creator>
  <cp:keywords/>
  <dc:description/>
  <cp:lastModifiedBy>Michael Harper</cp:lastModifiedBy>
  <cp:revision>160</cp:revision>
  <dcterms:created xsi:type="dcterms:W3CDTF">2018-01-22T19:30:00Z</dcterms:created>
  <dcterms:modified xsi:type="dcterms:W3CDTF">2019-02-03T07:32:00Z</dcterms:modified>
</cp:coreProperties>
</file>