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799E" w14:textId="77777777" w:rsidR="000F7EA8" w:rsidRDefault="00396EF1" w:rsidP="000F7EA8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7648F">
        <w:rPr>
          <w:b/>
          <w:i/>
          <w:iCs/>
          <w:color w:val="000000"/>
          <w:sz w:val="28"/>
          <w:szCs w:val="28"/>
          <w:u w:val="single"/>
        </w:rPr>
        <w:t>Supply Chain Management</w:t>
      </w:r>
      <w:r w:rsidR="000F7EA8">
        <w:rPr>
          <w:b/>
          <w:i/>
          <w:iCs/>
          <w:color w:val="000000"/>
          <w:sz w:val="28"/>
          <w:szCs w:val="28"/>
          <w:u w:val="single"/>
        </w:rPr>
        <w:t xml:space="preserve"> – Bullwhip Effect</w:t>
      </w:r>
    </w:p>
    <w:p w14:paraId="008F4E8E" w14:textId="1189C5C1" w:rsidR="000F7EA8" w:rsidRDefault="000F7EA8" w:rsidP="000F7EA8">
      <w:pPr>
        <w:rPr>
          <w:color w:val="000000"/>
          <w:sz w:val="20"/>
        </w:rPr>
      </w:pPr>
    </w:p>
    <w:p w14:paraId="20D73BBB" w14:textId="77777777" w:rsidR="001C2F9B" w:rsidRPr="00293B67" w:rsidRDefault="001C2F9B" w:rsidP="001C2F9B">
      <w:pPr>
        <w:jc w:val="center"/>
        <w:rPr>
          <w:color w:val="000000"/>
          <w:sz w:val="20"/>
        </w:rPr>
      </w:pPr>
      <w:r w:rsidRPr="00293B67">
        <w:rPr>
          <w:b/>
          <w:color w:val="000000"/>
          <w:sz w:val="20"/>
          <w:u w:val="single"/>
        </w:rPr>
        <w:t>Bullwhip Effect</w:t>
      </w:r>
      <w:r w:rsidRPr="00293B67">
        <w:rPr>
          <w:color w:val="000000"/>
          <w:sz w:val="20"/>
        </w:rPr>
        <w:t xml:space="preserve">   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1"/>
      </w:tblGrid>
      <w:tr w:rsidR="001C2F9B" w:rsidRPr="00293B67" w14:paraId="3D50E31F" w14:textId="77777777" w:rsidTr="001C2F9B">
        <w:trPr>
          <w:trHeight w:val="43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C1B45C7" w14:textId="0AE435CA" w:rsidR="001C2F9B" w:rsidRPr="00293B67" w:rsidRDefault="001C2F9B" w:rsidP="001C2F9B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Demand Variability Increases Upstream in a Supply Chain</w:t>
            </w:r>
          </w:p>
        </w:tc>
      </w:tr>
    </w:tbl>
    <w:p w14:paraId="14C53F4E" w14:textId="77777777" w:rsidR="000F7EA8" w:rsidRPr="00293B67" w:rsidRDefault="000F7EA8" w:rsidP="000F7EA8">
      <w:pPr>
        <w:jc w:val="center"/>
        <w:rPr>
          <w:b/>
          <w:b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7EA8" w:rsidRPr="00293B67" w14:paraId="57BE5950" w14:textId="77777777" w:rsidTr="00BB0811">
        <w:tc>
          <w:tcPr>
            <w:tcW w:w="88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E1A6322" w14:textId="0FE0E0FF" w:rsidR="000F7EA8" w:rsidRPr="00293B67" w:rsidRDefault="00100645" w:rsidP="00BB08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  <w:p w14:paraId="055A05DB" w14:textId="37324E5B" w:rsidR="000F7EA8" w:rsidRPr="00293B67" w:rsidRDefault="00100645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E0"/>
            </w:r>
            <w:r w:rsidRPr="00293B67">
              <w:rPr>
                <w:color w:val="000000"/>
                <w:sz w:val="20"/>
              </w:rPr>
              <w:t xml:space="preserve"> Flow of Material </w:t>
            </w:r>
            <w:r w:rsidRPr="00293B67">
              <w:rPr>
                <w:color w:val="000000"/>
                <w:sz w:val="20"/>
              </w:rPr>
              <w:sym w:font="Wingdings" w:char="00E0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F7EA8" w:rsidRPr="00293B67" w14:paraId="3BFAE078" w14:textId="77777777" w:rsidTr="00BB081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F4D0A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B7876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91C10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65972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236C3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BDA8F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CACBE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BB42F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C73FF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282257A" w14:textId="5067BFB4" w:rsidR="000F7EA8" w:rsidRPr="00293B67" w:rsidRDefault="00100645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DF"/>
            </w:r>
            <w:r w:rsidRPr="00293B67">
              <w:rPr>
                <w:color w:val="000000"/>
                <w:sz w:val="20"/>
              </w:rPr>
              <w:t xml:space="preserve"> Flow of Information </w:t>
            </w:r>
            <w:r w:rsidRPr="00293B67">
              <w:rPr>
                <w:color w:val="000000"/>
                <w:sz w:val="20"/>
              </w:rPr>
              <w:sym w:font="Wingdings" w:char="00DF"/>
            </w:r>
          </w:p>
          <w:p w14:paraId="75E4708A" w14:textId="1FF4DD77" w:rsidR="00100645" w:rsidRPr="00293B67" w:rsidRDefault="00100645" w:rsidP="0010064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</w:tr>
    </w:tbl>
    <w:p w14:paraId="79AE65B8" w14:textId="77777777" w:rsidR="000F7EA8" w:rsidRPr="00293B67" w:rsidRDefault="000F7EA8" w:rsidP="000F7EA8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0F7EA8" w:rsidRPr="00293B67" w14:paraId="1696BE44" w14:textId="77777777" w:rsidTr="00BB0811">
        <w:tc>
          <w:tcPr>
            <w:tcW w:w="8534" w:type="dxa"/>
          </w:tcPr>
          <w:p w14:paraId="328145B2" w14:textId="77777777" w:rsidR="000F7EA8" w:rsidRPr="00293B67" w:rsidRDefault="000F7EA8" w:rsidP="00BB0811">
            <w:pPr>
              <w:jc w:val="center"/>
              <w:rPr>
                <w:b/>
                <w:color w:val="000000"/>
                <w:sz w:val="20"/>
                <w:u w:val="single"/>
              </w:rPr>
            </w:pPr>
          </w:p>
          <w:p w14:paraId="41F81C72" w14:textId="77777777" w:rsidR="000F7EA8" w:rsidRPr="00293B67" w:rsidRDefault="000F7EA8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E0"/>
            </w:r>
            <w:r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Material</w:t>
            </w:r>
            <w:r w:rsidRPr="00293B67">
              <w:rPr>
                <w:color w:val="000000"/>
                <w:sz w:val="20"/>
              </w:rPr>
              <w:t xml:space="preserve"> Downstream </w:t>
            </w:r>
            <w:r w:rsidRPr="00293B67">
              <w:rPr>
                <w:color w:val="000000"/>
                <w:sz w:val="20"/>
              </w:rPr>
              <w:sym w:font="Wingdings" w:char="F0E0"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5"/>
              <w:gridCol w:w="740"/>
              <w:gridCol w:w="1305"/>
              <w:gridCol w:w="694"/>
              <w:gridCol w:w="1094"/>
              <w:gridCol w:w="609"/>
              <w:gridCol w:w="1083"/>
              <w:gridCol w:w="600"/>
              <w:gridCol w:w="1078"/>
            </w:tblGrid>
            <w:tr w:rsidR="000F7EA8" w:rsidRPr="00293B67" w14:paraId="2D9C5041" w14:textId="77777777" w:rsidTr="00BB0811">
              <w:trPr>
                <w:trHeight w:hRule="exact" w:val="1152"/>
              </w:trPr>
              <w:tc>
                <w:tcPr>
                  <w:tcW w:w="108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6826CA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74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50A5E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7F5945" wp14:editId="1590842F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588010</wp:posOffset>
                            </wp:positionV>
                            <wp:extent cx="474345" cy="122555"/>
                            <wp:effectExtent l="0" t="0" r="20955" b="10795"/>
                            <wp:wrapNone/>
                            <wp:docPr id="4" name="Freeform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74345" cy="12255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4C848" id="Freeform 368" o:spid="_x0000_s1026" style="position:absolute;margin-left:-5.3pt;margin-top:46.3pt;width:37.3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" path="m,1080v120,,240,,360,-180c480,720,600,,720,v120,,240,720,360,900c1200,1080,1320,1080,1440,1080e" filled="f">
                            <v:path arrowok="t" o:connecttype="custom" o:connectlocs="0,122555;118586,102129;237173,0;355759,102129;474345,12255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8BA313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7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BCB19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42BC9ED" wp14:editId="7EEE748B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436880</wp:posOffset>
                            </wp:positionV>
                            <wp:extent cx="433705" cy="256540"/>
                            <wp:effectExtent l="0" t="0" r="23495" b="10160"/>
                            <wp:wrapNone/>
                            <wp:docPr id="3" name="Freeform 3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33705" cy="25654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D02B69" id="Freeform 367" o:spid="_x0000_s1026" style="position:absolute;margin-left:-5.5pt;margin-top:34.4pt;width:34.1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" path="m,1080v120,,240,,360,-180c480,720,600,,720,v120,,240,720,360,900c1200,1080,1320,1080,1440,1080e" filled="f">
                            <v:path arrowok="t" o:connecttype="custom" o:connectlocs="0,256540;108426,213783;216853,0;325279,213783;433705,25654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AB4497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6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32BC6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CF9E478" wp14:editId="39BE9FB1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96545" cy="450215"/>
                            <wp:effectExtent l="0" t="0" r="27305" b="26035"/>
                            <wp:wrapNone/>
                            <wp:docPr id="2" name="Freeform 3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96545" cy="45021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CD1C91" id="Freeform 366" o:spid="_x0000_s1026" style="position:absolute;margin-left:-2.3pt;margin-top:17.95pt;width:23.35pt;height:3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" path="m,1080v120,,240,,360,-180c480,720,600,,720,v120,,240,720,360,900c1200,1080,1320,1080,1440,1080e" filled="f">
                            <v:path arrowok="t" o:connecttype="custom" o:connectlocs="0,450215;74136,375179;148273,0;222409,375179;296545,45021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631961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17EE6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10129CF" wp14:editId="04ADC23E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47955" cy="648970"/>
                            <wp:effectExtent l="9525" t="12065" r="13970" b="5715"/>
                            <wp:wrapNone/>
                            <wp:docPr id="1" name="Freeform 3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7955" cy="64897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7927B1" id="Freeform 365" o:spid="_x0000_s1026" style="position:absolute;margin-left:2.8pt;margin-top:4.55pt;width:11.65pt;height:5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" path="m,1080v120,,240,,360,-180c480,720,600,,720,v120,,240,720,360,900c1200,1080,1320,1080,1440,1080e" filled="f">
                            <v:path arrowok="t" o:connecttype="custom" o:connectlocs="0,648970;36989,540808;73978,0;110966,540808;147955,64897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CFDFD2C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</w:p>
                <w:p w14:paraId="26E63CA1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</w:p>
                <w:p w14:paraId="69B0B671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</w:p>
                <w:p w14:paraId="3B53F19B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</w:p>
                <w:p w14:paraId="1E689802" w14:textId="77777777" w:rsidR="000F7EA8" w:rsidRPr="00293B67" w:rsidRDefault="000F7EA8" w:rsidP="00BB0811">
                  <w:pPr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F7EA8" w:rsidRPr="00293B67" w14:paraId="13EAEF8B" w14:textId="77777777" w:rsidTr="00BB0811">
              <w:tc>
                <w:tcPr>
                  <w:tcW w:w="1084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0BFAB0C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11D89B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AF85B5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92A9A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D4121C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C7B6E9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C0AA23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4BE1F9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D28DE75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</w:tr>
            <w:tr w:rsidR="000F7EA8" w:rsidRPr="00293B67" w14:paraId="4DD129E6" w14:textId="77777777" w:rsidTr="00BB0811">
              <w:tc>
                <w:tcPr>
                  <w:tcW w:w="1084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F47473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B242828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5257235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89B0F67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FAACC71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671E5B6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A866F14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26024B0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D6C4648" w14:textId="77777777" w:rsidR="000F7EA8" w:rsidRPr="00293B67" w:rsidRDefault="000F7EA8" w:rsidP="00BB0811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6C412C0D" w14:textId="77777777" w:rsidR="000F7EA8" w:rsidRPr="00293B67" w:rsidRDefault="000F7EA8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DF"/>
            </w:r>
            <w:r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Information</w:t>
            </w:r>
            <w:r w:rsidRPr="00293B67">
              <w:rPr>
                <w:color w:val="000000"/>
                <w:sz w:val="20"/>
              </w:rPr>
              <w:t xml:space="preserve"> Upstream </w:t>
            </w:r>
            <w:r w:rsidRPr="00293B67">
              <w:rPr>
                <w:color w:val="000000"/>
                <w:sz w:val="20"/>
              </w:rPr>
              <w:sym w:font="Wingdings" w:char="F0DF"/>
            </w:r>
          </w:p>
          <w:p w14:paraId="6D222784" w14:textId="77777777" w:rsidR="001C2F9B" w:rsidRDefault="001C2F9B" w:rsidP="00BB0811">
            <w:pPr>
              <w:jc w:val="center"/>
              <w:rPr>
                <w:color w:val="000000"/>
                <w:sz w:val="20"/>
              </w:rPr>
            </w:pPr>
          </w:p>
          <w:p w14:paraId="5B07E0EE" w14:textId="77777777" w:rsidR="001C2F9B" w:rsidRPr="00293B67" w:rsidRDefault="001C2F9B" w:rsidP="001C2F9B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Bullwhip Effect</w:t>
            </w:r>
            <w:r w:rsidRPr="00293B67">
              <w:rPr>
                <w:color w:val="000000"/>
                <w:sz w:val="20"/>
              </w:rPr>
              <w:t xml:space="preserve">   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8"/>
            </w:tblGrid>
            <w:tr w:rsidR="001C2F9B" w:rsidRPr="00293B67" w14:paraId="1C90E519" w14:textId="77777777" w:rsidTr="00286EAE">
              <w:trPr>
                <w:jc w:val="center"/>
              </w:trPr>
              <w:tc>
                <w:tcPr>
                  <w:tcW w:w="5328" w:type="dxa"/>
                  <w:shd w:val="clear" w:color="auto" w:fill="F2F2F2" w:themeFill="background1" w:themeFillShade="F2"/>
                </w:tcPr>
                <w:p w14:paraId="584CFCF3" w14:textId="77777777" w:rsidR="001C2F9B" w:rsidRPr="00293B67" w:rsidRDefault="001C2F9B" w:rsidP="001C2F9B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 Variability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 Increases Upstream in a Supply Chain</w:t>
                  </w:r>
                </w:p>
              </w:tc>
            </w:tr>
            <w:tr w:rsidR="001C2F9B" w:rsidRPr="00293B67" w14:paraId="2693EBD1" w14:textId="77777777" w:rsidTr="00286EAE">
              <w:trPr>
                <w:jc w:val="center"/>
              </w:trPr>
              <w:tc>
                <w:tcPr>
                  <w:tcW w:w="5328" w:type="dxa"/>
                  <w:shd w:val="clear" w:color="auto" w:fill="F2F2F2" w:themeFill="background1" w:themeFillShade="F2"/>
                </w:tcPr>
                <w:p w14:paraId="7DB1BC5B" w14:textId="77777777" w:rsidR="001C2F9B" w:rsidRPr="00293B67" w:rsidRDefault="001C2F9B" w:rsidP="001C2F9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2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1 </w:t>
                  </w:r>
                  <w:proofErr w:type="gramStart"/>
                  <w:r w:rsidRPr="00293B67">
                    <w:rPr>
                      <w:color w:val="000000"/>
                      <w:sz w:val="20"/>
                    </w:rPr>
                    <w:t>&gt;(</w:t>
                  </w:r>
                  <w:proofErr w:type="gramEnd"/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</w:tr>
          </w:tbl>
          <w:p w14:paraId="1B43E436" w14:textId="7F269196" w:rsidR="000F7EA8" w:rsidRPr="00293B67" w:rsidRDefault="001C2F9B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 . .</w:t>
            </w:r>
          </w:p>
        </w:tc>
      </w:tr>
    </w:tbl>
    <w:p w14:paraId="300DF798" w14:textId="77777777" w:rsidR="000F7EA8" w:rsidRPr="00293B67" w:rsidRDefault="000F7EA8" w:rsidP="000F7EA8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0F7EA8" w:rsidRPr="00293B67" w14:paraId="24A7307E" w14:textId="77777777" w:rsidTr="001C2F9B">
        <w:tc>
          <w:tcPr>
            <w:tcW w:w="8534" w:type="dxa"/>
            <w:shd w:val="clear" w:color="auto" w:fill="auto"/>
          </w:tcPr>
          <w:p w14:paraId="22E0413C" w14:textId="77777777" w:rsidR="000F7EA8" w:rsidRPr="00293B67" w:rsidRDefault="000F7EA8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0F7EA8" w:rsidRPr="00293B67" w14:paraId="1FACD2CC" w14:textId="77777777" w:rsidTr="00BB0811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36B6C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  <w:r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Material</w:t>
                  </w:r>
                  <w:r w:rsidRPr="00293B67">
                    <w:rPr>
                      <w:color w:val="000000"/>
                      <w:sz w:val="20"/>
                    </w:rPr>
                    <w:t xml:space="preserve"> Downstream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  <w:tr w:rsidR="000F7EA8" w:rsidRPr="00293B67" w14:paraId="5E29C5E2" w14:textId="77777777" w:rsidTr="00BB081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F974E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FC51D9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CA264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4E7E6B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4892A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1EF63C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93DCE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24D1CB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116F0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0F7EA8" w:rsidRPr="00293B67" w14:paraId="69FC6EF5" w14:textId="77777777" w:rsidTr="00BB081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960FF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2ACDB6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28600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7B8165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FDFE6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DD5D16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8E95C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2D5C7E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22119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F7EA8" w:rsidRPr="00293B67" w14:paraId="7FE26806" w14:textId="77777777" w:rsidTr="00BB0811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993A9" w14:textId="77777777" w:rsidR="000F7EA8" w:rsidRPr="00293B67" w:rsidRDefault="000F7EA8" w:rsidP="00BB081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  <w:r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Information</w:t>
                  </w:r>
                  <w:r w:rsidRPr="00293B67">
                    <w:rPr>
                      <w:color w:val="000000"/>
                      <w:sz w:val="20"/>
                    </w:rPr>
                    <w:t xml:space="preserve"> Upstream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2BBD9FC6" w14:textId="551D3885" w:rsidR="000F7EA8" w:rsidRPr="00293B67" w:rsidRDefault="000F7EA8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  <w:r w:rsidR="00E44E03">
              <w:rPr>
                <w:color w:val="000000"/>
                <w:sz w:val="20"/>
              </w:rPr>
              <w:t xml:space="preserve"> . .</w:t>
            </w:r>
          </w:p>
        </w:tc>
      </w:tr>
      <w:tr w:rsidR="000F7EA8" w:rsidRPr="00293B67" w14:paraId="5192B564" w14:textId="77777777" w:rsidTr="00BB0811">
        <w:tc>
          <w:tcPr>
            <w:tcW w:w="8534" w:type="dxa"/>
          </w:tcPr>
          <w:p w14:paraId="3CFC2924" w14:textId="77777777" w:rsidR="000F7EA8" w:rsidRPr="00293B67" w:rsidRDefault="000F7EA8" w:rsidP="00BB0811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8"/>
            </w:tblGrid>
            <w:tr w:rsidR="000F7EA8" w:rsidRPr="00293B67" w14:paraId="48150DC0" w14:textId="77777777" w:rsidTr="00BB0811">
              <w:tc>
                <w:tcPr>
                  <w:tcW w:w="830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0C31BFA" w14:textId="77777777" w:rsidR="000F7EA8" w:rsidRPr="00293B67" w:rsidRDefault="000F7EA8" w:rsidP="00BB0811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</w:pPr>
                  <w:r w:rsidRPr="00293B67"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  <w:t>Results due to the Bullwhip Effect</w:t>
                  </w:r>
                </w:p>
              </w:tc>
            </w:tr>
            <w:tr w:rsidR="000F7EA8" w:rsidRPr="00293B67" w14:paraId="56B47344" w14:textId="77777777" w:rsidTr="00BB0811">
              <w:tc>
                <w:tcPr>
                  <w:tcW w:w="830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ABD66F9" w14:textId="77777777" w:rsidR="000F7EA8" w:rsidRPr="00293B67" w:rsidRDefault="000F7EA8" w:rsidP="00BB0811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When a supply chain is based on forecasted demand, (PUSH system),</w:t>
                  </w:r>
                </w:p>
                <w:p w14:paraId="7F2451B1" w14:textId="77777777" w:rsidR="000F7EA8" w:rsidRPr="00293B67" w:rsidRDefault="000F7EA8" w:rsidP="00BB0811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the bullwhip effect will result in:</w:t>
                  </w:r>
                </w:p>
                <w:p w14:paraId="2F5F0171" w14:textId="77777777" w:rsidR="000F7EA8" w:rsidRPr="00293B67" w:rsidRDefault="000F7EA8" w:rsidP="00BB0811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1) Order quantities within the Inventory policies increase upstream.</w:t>
                  </w:r>
                </w:p>
                <w:p w14:paraId="6AC7158E" w14:textId="77777777" w:rsidR="000F7EA8" w:rsidRPr="00293B67" w:rsidRDefault="000F7EA8" w:rsidP="00BB0811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2) Inventory levels from Production orders increase upstream.</w:t>
                  </w:r>
                </w:p>
                <w:p w14:paraId="7292C9B1" w14:textId="77777777" w:rsidR="000F7EA8" w:rsidRPr="00293B67" w:rsidRDefault="000F7EA8" w:rsidP="00BB0811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3) Capacity utilization increases upstream.</w:t>
                  </w:r>
                </w:p>
                <w:p w14:paraId="045074BB" w14:textId="77777777" w:rsidR="000F7EA8" w:rsidRPr="00293B67" w:rsidRDefault="000F7EA8" w:rsidP="00BB0811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4) Distribution requirements increase upstream.</w:t>
                  </w:r>
                </w:p>
                <w:p w14:paraId="1D9ACCED" w14:textId="77777777" w:rsidR="000F7EA8" w:rsidRPr="00293B67" w:rsidRDefault="000F7EA8" w:rsidP="00BB0811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5) Cost and waste increase upstream.</w:t>
                  </w:r>
                </w:p>
              </w:tc>
            </w:tr>
            <w:tr w:rsidR="000F7EA8" w:rsidRPr="00293B67" w14:paraId="223F3B3E" w14:textId="77777777" w:rsidTr="00BB0811">
              <w:tc>
                <w:tcPr>
                  <w:tcW w:w="830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63B6E95E" w14:textId="30759D1A" w:rsidR="000F7EA8" w:rsidRDefault="000F7EA8" w:rsidP="00BB0811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When a supply chain is based on realized demand, (PULL system),</w:t>
                  </w:r>
                </w:p>
                <w:p w14:paraId="7B23AA0A" w14:textId="72DDB6BB" w:rsidR="000F7EA8" w:rsidRPr="00293B67" w:rsidRDefault="00C14EA7" w:rsidP="00BB0811">
                  <w:pPr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    </w:t>
                  </w:r>
                  <w:r w:rsidR="000F7EA8" w:rsidRPr="00293B67">
                    <w:rPr>
                      <w:color w:val="000000"/>
                      <w:sz w:val="20"/>
                    </w:rPr>
                    <w:t>ideally, the bullwhip effect is eliminated.  (Although often impractical)</w:t>
                  </w:r>
                </w:p>
              </w:tc>
            </w:tr>
          </w:tbl>
          <w:p w14:paraId="6ED08BDE" w14:textId="60876895" w:rsidR="000F7EA8" w:rsidRPr="00293B67" w:rsidRDefault="000F7EA8" w:rsidP="00BB0811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color w:val="000000"/>
                <w:sz w:val="20"/>
              </w:rPr>
              <w:t>.</w:t>
            </w:r>
            <w:r w:rsidR="00E44E03">
              <w:rPr>
                <w:color w:val="000000"/>
                <w:sz w:val="20"/>
              </w:rPr>
              <w:t xml:space="preserve"> . .</w:t>
            </w:r>
          </w:p>
        </w:tc>
      </w:tr>
    </w:tbl>
    <w:p w14:paraId="04458CFB" w14:textId="77777777" w:rsidR="000F7EA8" w:rsidRPr="00293B67" w:rsidRDefault="000F7EA8" w:rsidP="000F7EA8">
      <w:pPr>
        <w:rPr>
          <w:sz w:val="20"/>
        </w:rPr>
      </w:pPr>
    </w:p>
    <w:p w14:paraId="7B3E2FE1" w14:textId="77777777" w:rsidR="000F7EA8" w:rsidRPr="00293B67" w:rsidRDefault="000F7EA8" w:rsidP="000F7EA8">
      <w:pPr>
        <w:rPr>
          <w:sz w:val="20"/>
        </w:rPr>
      </w:pPr>
      <w:r w:rsidRPr="00293B67">
        <w:rPr>
          <w:sz w:val="20"/>
        </w:rPr>
        <w:br w:type="page"/>
      </w:r>
    </w:p>
    <w:p w14:paraId="1BBFBB82" w14:textId="77777777" w:rsidR="000F7EA8" w:rsidRPr="00293B67" w:rsidRDefault="000F7EA8" w:rsidP="000F7EA8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836"/>
      </w:tblGrid>
      <w:tr w:rsidR="000F7EA8" w:rsidRPr="00293B67" w14:paraId="5EAE5EBD" w14:textId="77777777" w:rsidTr="00E44E03">
        <w:tc>
          <w:tcPr>
            <w:tcW w:w="85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14:paraId="25892BF1" w14:textId="77777777" w:rsidR="000F7EA8" w:rsidRPr="00293B67" w:rsidRDefault="000F7EA8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0F7EA8" w:rsidRPr="00293B67" w14:paraId="0EF95A6E" w14:textId="77777777" w:rsidTr="00BB0811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77B7E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E0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Material</w:t>
                  </w:r>
                  <w:r w:rsidRPr="00293B67">
                    <w:rPr>
                      <w:sz w:val="20"/>
                    </w:rPr>
                    <w:t xml:space="preserve"> Downstream </w:t>
                  </w:r>
                  <w:r w:rsidRPr="00293B67">
                    <w:rPr>
                      <w:sz w:val="20"/>
                    </w:rPr>
                    <w:sym w:font="Wingdings" w:char="F0E0"/>
                  </w:r>
                </w:p>
              </w:tc>
            </w:tr>
            <w:tr w:rsidR="000F7EA8" w:rsidRPr="00293B67" w14:paraId="619BE0F6" w14:textId="77777777" w:rsidTr="00BB081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EF6A5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C18D2C2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4CDE" w14:textId="77777777" w:rsidR="000F7EA8" w:rsidRPr="00293B67" w:rsidRDefault="000F7EA8" w:rsidP="00BB0811">
                  <w:pPr>
                    <w:jc w:val="center"/>
                    <w:rPr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43CC2B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C80A3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FC028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BC1A9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1A11F13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1FBF5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F7EA8" w:rsidRPr="00293B67" w14:paraId="3B86AF25" w14:textId="77777777" w:rsidTr="00BB081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219FB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57B7924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33471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5FAF24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EB49E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CF4089D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B2224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5596DE9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A4B46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Customer</w:t>
                  </w:r>
                </w:p>
              </w:tc>
            </w:tr>
            <w:tr w:rsidR="000F7EA8" w:rsidRPr="00293B67" w14:paraId="6940AD9E" w14:textId="77777777" w:rsidTr="00BB0811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9FBE1" w14:textId="77777777" w:rsidR="000F7EA8" w:rsidRPr="00293B67" w:rsidRDefault="000F7EA8" w:rsidP="00BB0811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Information</w:t>
                  </w:r>
                  <w:r w:rsidRPr="00293B67">
                    <w:rPr>
                      <w:sz w:val="20"/>
                    </w:rPr>
                    <w:t xml:space="preserve"> Upstream </w:t>
                  </w: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</w:tr>
          </w:tbl>
          <w:p w14:paraId="71518027" w14:textId="2773B332" w:rsidR="000F7EA8" w:rsidRPr="00293B67" w:rsidRDefault="000F7EA8" w:rsidP="00BB0811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  <w:r w:rsidR="00E44E03">
              <w:rPr>
                <w:color w:val="000000"/>
                <w:sz w:val="20"/>
              </w:rPr>
              <w:t xml:space="preserve"> . .</w:t>
            </w:r>
          </w:p>
        </w:tc>
      </w:tr>
      <w:tr w:rsidR="000F7EA8" w:rsidRPr="00293B67" w14:paraId="38CAED12" w14:textId="77777777" w:rsidTr="00E44E03">
        <w:tc>
          <w:tcPr>
            <w:tcW w:w="469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755B30" w14:textId="77777777" w:rsidR="000F7EA8" w:rsidRPr="00293B67" w:rsidRDefault="000F7EA8" w:rsidP="00BB0811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Causes of Increase in Demand Variability, </w:t>
            </w:r>
            <w:r w:rsidRPr="00293B67">
              <w:rPr>
                <w:rFonts w:ascii="Symbol" w:hAnsi="Symbol"/>
                <w:b/>
                <w:color w:val="000000"/>
                <w:sz w:val="20"/>
                <w:u w:val="single"/>
              </w:rPr>
              <w:t></w:t>
            </w:r>
            <w:proofErr w:type="gramStart"/>
            <w:r w:rsidRPr="00293B67">
              <w:rPr>
                <w:b/>
                <w:color w:val="000000"/>
                <w:sz w:val="20"/>
                <w:u w:val="single"/>
                <w:vertAlign w:val="superscript"/>
              </w:rPr>
              <w:t>2</w:t>
            </w:r>
            <w:r w:rsidRPr="00293B67"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,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related to the Bullwhip Effect</w:t>
            </w:r>
            <w:r w:rsidRPr="00293B67">
              <w:rPr>
                <w:b/>
                <w:color w:val="000000"/>
                <w:sz w:val="20"/>
                <w:u w:val="single"/>
              </w:rPr>
              <w:t>.</w:t>
            </w:r>
          </w:p>
          <w:p w14:paraId="4B383B2B" w14:textId="77777777" w:rsidR="000F7EA8" w:rsidRPr="00293B67" w:rsidRDefault="000F7EA8" w:rsidP="00BB0811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1.Forecasting within a base-stock level policy.  </w:t>
            </w:r>
          </w:p>
          <w:p w14:paraId="4742CEB1" w14:textId="77777777" w:rsidR="000F7EA8" w:rsidRPr="00293B67" w:rsidRDefault="000F7EA8" w:rsidP="00BB0811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2.Lead time (Information &amp; Material).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LT</w:t>
            </w:r>
          </w:p>
          <w:p w14:paraId="69002F9E" w14:textId="77777777" w:rsidR="000F7EA8" w:rsidRPr="00293B67" w:rsidRDefault="000F7EA8" w:rsidP="00BB0811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3.Batch ordering.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Q</w:t>
            </w:r>
          </w:p>
          <w:p w14:paraId="472FC000" w14:textId="77777777" w:rsidR="000F7EA8" w:rsidRPr="00293B67" w:rsidRDefault="000F7EA8" w:rsidP="00BB0811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4.Price fluctuations (Forward buying).  </w:t>
            </w:r>
          </w:p>
          <w:p w14:paraId="0DE5A6A8" w14:textId="77777777" w:rsidR="000F7EA8" w:rsidRPr="00293B67" w:rsidRDefault="000F7EA8" w:rsidP="00BB0811">
            <w:pPr>
              <w:ind w:left="200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5.Inflated orders (Gaming)</w:t>
            </w:r>
          </w:p>
          <w:p w14:paraId="3E3728AA" w14:textId="0CCA87EF" w:rsidR="000F7EA8" w:rsidRPr="00293B67" w:rsidRDefault="000F7EA8" w:rsidP="00BB0811">
            <w:pPr>
              <w:jc w:val="center"/>
              <w:rPr>
                <w:sz w:val="20"/>
              </w:rPr>
            </w:pPr>
            <w:r w:rsidRPr="00293B67">
              <w:rPr>
                <w:sz w:val="20"/>
              </w:rPr>
              <w:t>.</w:t>
            </w:r>
            <w:r w:rsidR="00E44E03">
              <w:rPr>
                <w:sz w:val="20"/>
              </w:rPr>
              <w:t xml:space="preserve"> . .</w:t>
            </w:r>
          </w:p>
        </w:tc>
        <w:tc>
          <w:tcPr>
            <w:tcW w:w="383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51FCCFC" w14:textId="77777777" w:rsidR="000F7EA8" w:rsidRDefault="000F7EA8" w:rsidP="00BB0811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Approaches to Cope with </w:t>
            </w:r>
          </w:p>
          <w:p w14:paraId="1007C77A" w14:textId="77777777" w:rsidR="000F7EA8" w:rsidRPr="00293B67" w:rsidRDefault="000F7EA8" w:rsidP="00BB0811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the Bullwhip Effect</w:t>
            </w:r>
            <w:r>
              <w:rPr>
                <w:b/>
                <w:color w:val="000000"/>
                <w:sz w:val="20"/>
                <w:u w:val="single"/>
              </w:rPr>
              <w:t>.</w:t>
            </w:r>
          </w:p>
          <w:p w14:paraId="157C4454" w14:textId="77777777" w:rsidR="000F7EA8" w:rsidRPr="00293B67" w:rsidRDefault="000F7EA8" w:rsidP="00BB0811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1.Centralized information</w:t>
            </w:r>
          </w:p>
          <w:p w14:paraId="5B55F60C" w14:textId="77777777" w:rsidR="000F7EA8" w:rsidRPr="00293B67" w:rsidRDefault="000F7EA8" w:rsidP="00BB0811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2.EDLP (Everyday low pricing)</w:t>
            </w:r>
          </w:p>
          <w:p w14:paraId="0BCD18A8" w14:textId="77777777" w:rsidR="000F7EA8" w:rsidRPr="00293B67" w:rsidRDefault="000F7EA8" w:rsidP="00BB0811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3.EDI (Electronic Data Interchange)</w:t>
            </w:r>
          </w:p>
          <w:p w14:paraId="5637A6E4" w14:textId="77777777" w:rsidR="000F7EA8" w:rsidRPr="00293B67" w:rsidRDefault="000F7EA8" w:rsidP="00BB0811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4.Cross-docking</w:t>
            </w:r>
          </w:p>
          <w:p w14:paraId="300A6C12" w14:textId="77777777" w:rsidR="000F7EA8" w:rsidRPr="00293B67" w:rsidRDefault="000F7EA8" w:rsidP="00BB0811">
            <w:pPr>
              <w:ind w:left="158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5.VMI (Vendor managed inventory)</w:t>
            </w:r>
          </w:p>
          <w:p w14:paraId="1AE0AFF4" w14:textId="0009FD08" w:rsidR="000F7EA8" w:rsidRPr="00293B67" w:rsidRDefault="000F7EA8" w:rsidP="00BB0811">
            <w:pPr>
              <w:jc w:val="center"/>
              <w:rPr>
                <w:b/>
                <w:sz w:val="20"/>
                <w:u w:val="single"/>
              </w:rPr>
            </w:pPr>
            <w:r w:rsidRPr="00293B67">
              <w:rPr>
                <w:sz w:val="20"/>
              </w:rPr>
              <w:t>.</w:t>
            </w:r>
            <w:r w:rsidR="00E44E03">
              <w:rPr>
                <w:sz w:val="20"/>
              </w:rPr>
              <w:t xml:space="preserve"> . .</w:t>
            </w:r>
          </w:p>
        </w:tc>
      </w:tr>
      <w:tr w:rsidR="000F7EA8" w:rsidRPr="00293B67" w14:paraId="64334F89" w14:textId="77777777" w:rsidTr="00BB0811"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14:paraId="5BF5A5AD" w14:textId="77777777" w:rsidR="000F7EA8" w:rsidRPr="00293B67" w:rsidRDefault="000F7EA8" w:rsidP="00BB0811">
            <w:pPr>
              <w:rPr>
                <w:b/>
                <w:sz w:val="20"/>
                <w:u w:val="single"/>
              </w:rPr>
            </w:pPr>
            <w:r w:rsidRPr="00293B67">
              <w:rPr>
                <w:b/>
                <w:sz w:val="20"/>
                <w:u w:val="single"/>
              </w:rPr>
              <w:t>Trade-offs that impact the Bullwhip Effect.</w:t>
            </w:r>
          </w:p>
          <w:p w14:paraId="79E1CB64" w14:textId="77777777" w:rsidR="000F7EA8" w:rsidRPr="00293B67" w:rsidRDefault="000F7EA8" w:rsidP="00BB0811">
            <w:pPr>
              <w:ind w:left="380" w:hanging="180"/>
              <w:rPr>
                <w:b/>
                <w:sz w:val="20"/>
                <w:u w:val="single"/>
              </w:rPr>
            </w:pPr>
            <w:r w:rsidRPr="00293B67">
              <w:rPr>
                <w:sz w:val="20"/>
              </w:rPr>
              <w:t>1.Large lot sizes reduce ordering cost and small lot sizes reduce inventory carrying cost.</w:t>
            </w:r>
          </w:p>
          <w:p w14:paraId="6644AA98" w14:textId="77777777" w:rsidR="000F7EA8" w:rsidRPr="00293B67" w:rsidRDefault="000F7EA8" w:rsidP="00BB0811">
            <w:pPr>
              <w:ind w:left="380" w:hanging="180"/>
              <w:rPr>
                <w:sz w:val="20"/>
              </w:rPr>
            </w:pPr>
            <w:r w:rsidRPr="00293B67">
              <w:rPr>
                <w:sz w:val="20"/>
              </w:rPr>
              <w:t>2.Large lot sizes reduce transportation costs and small lot sizes reduce warehouse capacity costs.</w:t>
            </w:r>
          </w:p>
          <w:p w14:paraId="73517F61" w14:textId="77777777" w:rsidR="000F7EA8" w:rsidRPr="00293B67" w:rsidRDefault="000F7EA8" w:rsidP="00BB0811">
            <w:pPr>
              <w:ind w:left="380" w:hanging="180"/>
              <w:rPr>
                <w:sz w:val="20"/>
              </w:rPr>
            </w:pPr>
            <w:r w:rsidRPr="00293B67">
              <w:rPr>
                <w:sz w:val="20"/>
              </w:rPr>
              <w:t>3.Large lead times support transportation and small lead times support inventory handling.</w:t>
            </w:r>
          </w:p>
          <w:p w14:paraId="1890973D" w14:textId="77777777" w:rsidR="000F7EA8" w:rsidRPr="00293B67" w:rsidRDefault="000F7EA8" w:rsidP="00BB0811">
            <w:pPr>
              <w:ind w:left="380" w:hanging="180"/>
              <w:rPr>
                <w:sz w:val="20"/>
              </w:rPr>
            </w:pPr>
            <w:r w:rsidRPr="00293B67">
              <w:rPr>
                <w:sz w:val="20"/>
              </w:rPr>
              <w:t>4.Large product variety better matches demand and small product variety reduces inventory complexity.</w:t>
            </w:r>
          </w:p>
          <w:p w14:paraId="7E06C152" w14:textId="314606A4" w:rsidR="000F7EA8" w:rsidRPr="00293B67" w:rsidRDefault="000F7EA8" w:rsidP="00BB0811">
            <w:pPr>
              <w:jc w:val="center"/>
              <w:rPr>
                <w:sz w:val="20"/>
              </w:rPr>
            </w:pPr>
            <w:r w:rsidRPr="00293B67">
              <w:rPr>
                <w:sz w:val="20"/>
              </w:rPr>
              <w:t>.</w:t>
            </w:r>
            <w:r w:rsidR="00E44E03">
              <w:rPr>
                <w:sz w:val="20"/>
              </w:rPr>
              <w:t xml:space="preserve"> . .</w:t>
            </w:r>
          </w:p>
        </w:tc>
      </w:tr>
      <w:tr w:rsidR="000F7EA8" w:rsidRPr="00293B67" w14:paraId="58BEA8B4" w14:textId="77777777" w:rsidTr="00BB0811"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F7F3894" w14:textId="77777777" w:rsidR="000F7EA8" w:rsidRPr="00E44E03" w:rsidRDefault="000F7EA8" w:rsidP="00E44E03">
            <w:pPr>
              <w:rPr>
                <w:b/>
                <w:color w:val="000000"/>
                <w:sz w:val="20"/>
                <w:u w:val="single"/>
              </w:rPr>
            </w:pPr>
            <w:r w:rsidRPr="00E44E03">
              <w:rPr>
                <w:b/>
                <w:color w:val="000000"/>
                <w:sz w:val="20"/>
                <w:u w:val="single"/>
              </w:rPr>
              <w:t>Management of the Bullwhip Effect</w:t>
            </w:r>
          </w:p>
          <w:p w14:paraId="6EAA3844" w14:textId="77777777" w:rsidR="000F7EA8" w:rsidRPr="00E44E03" w:rsidRDefault="000F7EA8" w:rsidP="00E44E03">
            <w:pPr>
              <w:rPr>
                <w:color w:val="000000"/>
                <w:sz w:val="20"/>
              </w:rPr>
            </w:pPr>
            <w:r w:rsidRPr="00E44E03">
              <w:rPr>
                <w:i/>
                <w:color w:val="000000"/>
                <w:sz w:val="20"/>
              </w:rPr>
              <w:t>Objective:  Balance Inventory Costs with Customer Service</w:t>
            </w:r>
          </w:p>
          <w:p w14:paraId="133D72E1" w14:textId="77777777" w:rsidR="000F7EA8" w:rsidRPr="00E44E03" w:rsidRDefault="000F7EA8" w:rsidP="00E44E03">
            <w:pPr>
              <w:ind w:left="200"/>
              <w:rPr>
                <w:sz w:val="20"/>
              </w:rPr>
            </w:pPr>
            <w:r w:rsidRPr="00E44E03">
              <w:rPr>
                <w:sz w:val="20"/>
              </w:rPr>
              <w:t>1. Planning:</w:t>
            </w:r>
          </w:p>
          <w:p w14:paraId="376CE40D" w14:textId="77777777" w:rsidR="000F7EA8" w:rsidRPr="00E44E03" w:rsidRDefault="000F7EA8" w:rsidP="00E44E03">
            <w:pPr>
              <w:ind w:left="380"/>
              <w:rPr>
                <w:sz w:val="20"/>
              </w:rPr>
            </w:pPr>
            <w:r w:rsidRPr="00E44E03">
              <w:rPr>
                <w:sz w:val="20"/>
              </w:rPr>
              <w:t>-Sequential Planning (Local Optimization)</w:t>
            </w:r>
          </w:p>
          <w:p w14:paraId="6775970B" w14:textId="77777777" w:rsidR="000F7EA8" w:rsidRPr="00E44E03" w:rsidRDefault="000F7EA8" w:rsidP="00E44E03">
            <w:pPr>
              <w:ind w:left="380"/>
              <w:rPr>
                <w:color w:val="000000"/>
                <w:sz w:val="20"/>
              </w:rPr>
            </w:pPr>
            <w:r w:rsidRPr="00E44E03">
              <w:rPr>
                <w:sz w:val="20"/>
              </w:rPr>
              <w:t>-Integration (Global Optimization)</w:t>
            </w:r>
          </w:p>
          <w:p w14:paraId="25307669" w14:textId="77777777" w:rsidR="000F7EA8" w:rsidRPr="00E44E03" w:rsidRDefault="000F7EA8" w:rsidP="00E44E03">
            <w:pPr>
              <w:pStyle w:val="ListParagraph"/>
              <w:spacing w:after="0"/>
              <w:ind w:left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20"/>
              </w:rPr>
              <w:t>2. Information:</w:t>
            </w:r>
          </w:p>
          <w:p w14:paraId="4F3B65D2" w14:textId="77777777" w:rsidR="000F7EA8" w:rsidRPr="00E44E03" w:rsidRDefault="000F7EA8" w:rsidP="00E44E03">
            <w:pPr>
              <w:pStyle w:val="ListParagraph"/>
              <w:spacing w:after="0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20"/>
              </w:rPr>
              <w:t>-Information Uncertainty (Centralized vs. Distributed Information)</w:t>
            </w:r>
          </w:p>
          <w:p w14:paraId="34BE14AA" w14:textId="77777777" w:rsidR="000F7EA8" w:rsidRPr="00E44E03" w:rsidRDefault="000F7EA8" w:rsidP="00E44E03">
            <w:pPr>
              <w:pStyle w:val="ListParagraph"/>
              <w:spacing w:after="0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20"/>
              </w:rPr>
              <w:t>-Demand Variability (Forecasting)</w:t>
            </w:r>
            <w:bookmarkStart w:id="0" w:name="_GoBack"/>
            <w:bookmarkEnd w:id="0"/>
          </w:p>
          <w:p w14:paraId="7B2B7C65" w14:textId="77777777" w:rsidR="000F7EA8" w:rsidRPr="00E44E03" w:rsidRDefault="000F7EA8" w:rsidP="00E44E03">
            <w:pPr>
              <w:pStyle w:val="ListParagraph"/>
              <w:spacing w:after="0"/>
              <w:ind w:left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20"/>
              </w:rPr>
              <w:t>3. Policies:</w:t>
            </w:r>
          </w:p>
          <w:p w14:paraId="4E502933" w14:textId="77777777" w:rsidR="000F7EA8" w:rsidRPr="00E44E03" w:rsidRDefault="000F7EA8" w:rsidP="00E44E03">
            <w:pPr>
              <w:pStyle w:val="ListParagraph"/>
              <w:spacing w:after="0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20"/>
              </w:rPr>
              <w:t>-Lot Size (Upstream Orders, Downstream Shipments, and Backorders)</w:t>
            </w:r>
          </w:p>
          <w:p w14:paraId="744962C4" w14:textId="77777777" w:rsidR="000F7EA8" w:rsidRPr="00E44E03" w:rsidRDefault="000F7EA8" w:rsidP="00E44E03">
            <w:pPr>
              <w:pStyle w:val="ListParagraph"/>
              <w:spacing w:after="0"/>
              <w:ind w:left="37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20"/>
              </w:rPr>
              <w:t>-Lead Time (Upstream Information Processing and Downstream Material Shipments)</w:t>
            </w:r>
          </w:p>
          <w:p w14:paraId="3E5EDFDB" w14:textId="79E1D55E" w:rsidR="000F7EA8" w:rsidRPr="00293B67" w:rsidRDefault="000F7EA8" w:rsidP="00E44E03">
            <w:pPr>
              <w:jc w:val="center"/>
              <w:rPr>
                <w:sz w:val="20"/>
              </w:rPr>
            </w:pPr>
            <w:r w:rsidRPr="00E44E03">
              <w:rPr>
                <w:sz w:val="20"/>
              </w:rPr>
              <w:t>.</w:t>
            </w:r>
            <w:r w:rsidR="00E44E03" w:rsidRPr="00E44E03">
              <w:rPr>
                <w:sz w:val="20"/>
              </w:rPr>
              <w:t xml:space="preserve"> . .</w:t>
            </w:r>
          </w:p>
        </w:tc>
      </w:tr>
    </w:tbl>
    <w:p w14:paraId="255ADA8F" w14:textId="77777777" w:rsidR="000F7EA8" w:rsidRPr="00293B67" w:rsidRDefault="000F7EA8" w:rsidP="000F7EA8">
      <w:pPr>
        <w:rPr>
          <w:sz w:val="20"/>
        </w:rPr>
      </w:pPr>
    </w:p>
    <w:p w14:paraId="35C84B12" w14:textId="055896B1" w:rsidR="007F2DF0" w:rsidRDefault="000F7EA8" w:rsidP="000F7EA8">
      <w:pPr>
        <w:jc w:val="center"/>
        <w:rPr>
          <w:sz w:val="20"/>
        </w:rPr>
      </w:pPr>
      <w:r>
        <w:rPr>
          <w:sz w:val="20"/>
        </w:rPr>
        <w:t xml:space="preserve"> </w:t>
      </w:r>
    </w:p>
    <w:p w14:paraId="031DF143" w14:textId="4744C9B1" w:rsidR="00612AB6" w:rsidRDefault="00612AB6">
      <w:pPr>
        <w:rPr>
          <w:sz w:val="20"/>
        </w:rPr>
      </w:pPr>
    </w:p>
    <w:sectPr w:rsidR="00612AB6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06E6" w14:textId="77777777" w:rsidR="00C045B1" w:rsidRDefault="00C045B1">
      <w:r>
        <w:separator/>
      </w:r>
    </w:p>
  </w:endnote>
  <w:endnote w:type="continuationSeparator" w:id="0">
    <w:p w14:paraId="716D38A3" w14:textId="77777777" w:rsidR="00C045B1" w:rsidRDefault="00C0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BC02" w14:textId="77777777" w:rsidR="00C045B1" w:rsidRDefault="00C045B1">
      <w:r>
        <w:separator/>
      </w:r>
    </w:p>
  </w:footnote>
  <w:footnote w:type="continuationSeparator" w:id="0">
    <w:p w14:paraId="56DDDC6D" w14:textId="77777777" w:rsidR="00C045B1" w:rsidRDefault="00C0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EA8"/>
    <w:rsid w:val="000F7F95"/>
    <w:rsid w:val="0010064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C2F9B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1F6F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6063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045B1"/>
    <w:rsid w:val="00C12C86"/>
    <w:rsid w:val="00C14EA7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50C7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4E03"/>
    <w:rsid w:val="00E46194"/>
    <w:rsid w:val="00E47237"/>
    <w:rsid w:val="00E548D5"/>
    <w:rsid w:val="00E613BE"/>
    <w:rsid w:val="00E61565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F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0C77-2EE9-4F14-A16B-65B5D469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2869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113</cp:revision>
  <cp:lastPrinted>2011-08-08T18:44:00Z</cp:lastPrinted>
  <dcterms:created xsi:type="dcterms:W3CDTF">2017-08-15T20:32:00Z</dcterms:created>
  <dcterms:modified xsi:type="dcterms:W3CDTF">2020-02-28T05:01:00Z</dcterms:modified>
</cp:coreProperties>
</file>